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31" w:rsidRDefault="00424631">
      <w:pPr>
        <w:rPr>
          <w:rFonts w:ascii="Times New Roman" w:hAnsi="Times New Roman" w:cs="Times New Roman"/>
          <w:sz w:val="24"/>
          <w:szCs w:val="24"/>
          <w:u w:val="single"/>
        </w:rPr>
      </w:pPr>
      <w:r>
        <w:rPr>
          <w:rFonts w:ascii="Times New Roman" w:hAnsi="Times New Roman" w:cs="Times New Roman"/>
          <w:sz w:val="24"/>
          <w:szCs w:val="24"/>
          <w:u w:val="single"/>
        </w:rPr>
        <w:t>Byron Society, MLA 2015</w:t>
      </w:r>
    </w:p>
    <w:p w:rsidR="00D8528E" w:rsidRPr="00424631" w:rsidRDefault="00424631" w:rsidP="00424631">
      <w:pPr>
        <w:jc w:val="center"/>
        <w:rPr>
          <w:rFonts w:ascii="Times New Roman" w:hAnsi="Times New Roman" w:cs="Times New Roman"/>
          <w:i/>
          <w:sz w:val="24"/>
          <w:szCs w:val="24"/>
        </w:rPr>
      </w:pPr>
      <w:r w:rsidRPr="00424631">
        <w:rPr>
          <w:rFonts w:ascii="Times New Roman" w:hAnsi="Times New Roman" w:cs="Times New Roman"/>
          <w:i/>
          <w:sz w:val="24"/>
          <w:szCs w:val="24"/>
        </w:rPr>
        <w:t>George Gordon, Lord Network</w:t>
      </w:r>
    </w:p>
    <w:p w:rsidR="00424631" w:rsidRDefault="00424631" w:rsidP="00424631">
      <w:pPr>
        <w:jc w:val="center"/>
        <w:rPr>
          <w:rFonts w:ascii="Times New Roman" w:hAnsi="Times New Roman" w:cs="Times New Roman"/>
          <w:sz w:val="24"/>
          <w:szCs w:val="24"/>
        </w:rPr>
      </w:pPr>
      <w:r>
        <w:rPr>
          <w:rFonts w:ascii="Times New Roman" w:hAnsi="Times New Roman" w:cs="Times New Roman"/>
          <w:sz w:val="24"/>
          <w:szCs w:val="24"/>
        </w:rPr>
        <w:t>Evan Gottlieb, Oregon State University</w:t>
      </w:r>
    </w:p>
    <w:p w:rsidR="00365FFD" w:rsidRDefault="00365FFD" w:rsidP="00424631">
      <w:pPr>
        <w:spacing w:line="480" w:lineRule="auto"/>
        <w:ind w:firstLine="720"/>
        <w:rPr>
          <w:rFonts w:ascii="Times New Roman" w:hAnsi="Times New Roman" w:cs="Times New Roman"/>
          <w:sz w:val="24"/>
          <w:szCs w:val="24"/>
        </w:rPr>
      </w:pPr>
    </w:p>
    <w:p w:rsidR="00E75A9C" w:rsidRPr="00E75A9C" w:rsidRDefault="00365FFD" w:rsidP="00E75A9C">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Byron has </w:t>
      </w:r>
      <w:r w:rsidR="00424631" w:rsidRPr="000D2E2B">
        <w:rPr>
          <w:rFonts w:ascii="Times New Roman" w:hAnsi="Times New Roman" w:cs="Times New Roman"/>
          <w:sz w:val="24"/>
          <w:szCs w:val="24"/>
        </w:rPr>
        <w:t xml:space="preserve">always </w:t>
      </w:r>
      <w:r>
        <w:rPr>
          <w:rFonts w:ascii="Times New Roman" w:hAnsi="Times New Roman" w:cs="Times New Roman"/>
          <w:sz w:val="24"/>
          <w:szCs w:val="24"/>
        </w:rPr>
        <w:t xml:space="preserve">been </w:t>
      </w:r>
      <w:r w:rsidR="00424631" w:rsidRPr="000D2E2B">
        <w:rPr>
          <w:rFonts w:ascii="Times New Roman" w:hAnsi="Times New Roman" w:cs="Times New Roman"/>
          <w:sz w:val="24"/>
          <w:szCs w:val="24"/>
        </w:rPr>
        <w:t>as famous for his life an</w:t>
      </w:r>
      <w:r w:rsidR="00424631">
        <w:rPr>
          <w:rFonts w:ascii="Times New Roman" w:hAnsi="Times New Roman" w:cs="Times New Roman"/>
          <w:sz w:val="24"/>
          <w:szCs w:val="24"/>
        </w:rPr>
        <w:t>d personality as for his poetry --</w:t>
      </w:r>
      <w:r w:rsidR="00424631" w:rsidRPr="000D2E2B">
        <w:rPr>
          <w:rFonts w:ascii="Times New Roman" w:hAnsi="Times New Roman" w:cs="Times New Roman"/>
          <w:sz w:val="24"/>
          <w:szCs w:val="24"/>
        </w:rPr>
        <w:t xml:space="preserve"> a conflation he himself was often keen to promote.</w:t>
      </w:r>
      <w:r w:rsidR="00424631" w:rsidRPr="000D2E2B">
        <w:rPr>
          <w:rFonts w:ascii="Times New Roman" w:hAnsi="Times New Roman" w:cs="Times New Roman"/>
          <w:sz w:val="24"/>
          <w:szCs w:val="24"/>
          <w:vertAlign w:val="superscript"/>
        </w:rPr>
        <w:endnoteReference w:id="1"/>
      </w:r>
      <w:r w:rsidR="00424631">
        <w:rPr>
          <w:rFonts w:ascii="Times New Roman" w:hAnsi="Times New Roman" w:cs="Times New Roman"/>
          <w:sz w:val="24"/>
          <w:szCs w:val="24"/>
        </w:rPr>
        <w:t xml:space="preserve"> </w:t>
      </w:r>
      <w:r w:rsidR="00424631" w:rsidRPr="000D2E2B">
        <w:rPr>
          <w:rFonts w:ascii="Times New Roman" w:hAnsi="Times New Roman" w:cs="Times New Roman"/>
          <w:sz w:val="24"/>
          <w:szCs w:val="24"/>
        </w:rPr>
        <w:t xml:space="preserve">As a result, his legacy has </w:t>
      </w:r>
      <w:r w:rsidR="00424631">
        <w:rPr>
          <w:rFonts w:ascii="Times New Roman" w:hAnsi="Times New Roman" w:cs="Times New Roman"/>
          <w:sz w:val="24"/>
          <w:szCs w:val="24"/>
        </w:rPr>
        <w:t xml:space="preserve">all too frequently </w:t>
      </w:r>
      <w:r w:rsidR="00424631" w:rsidRPr="000D2E2B">
        <w:rPr>
          <w:rFonts w:ascii="Times New Roman" w:hAnsi="Times New Roman" w:cs="Times New Roman"/>
          <w:sz w:val="24"/>
          <w:szCs w:val="24"/>
        </w:rPr>
        <w:t xml:space="preserve">been to be considered </w:t>
      </w:r>
      <w:r w:rsidR="00703774">
        <w:rPr>
          <w:rFonts w:ascii="Times New Roman" w:hAnsi="Times New Roman" w:cs="Times New Roman"/>
          <w:sz w:val="24"/>
          <w:szCs w:val="24"/>
        </w:rPr>
        <w:t xml:space="preserve">(as Anthony Howe summarizes) </w:t>
      </w:r>
      <w:r w:rsidR="00424631" w:rsidRPr="000D2E2B">
        <w:rPr>
          <w:rFonts w:ascii="Times New Roman" w:hAnsi="Times New Roman" w:cs="Times New Roman"/>
          <w:sz w:val="24"/>
          <w:szCs w:val="24"/>
        </w:rPr>
        <w:t>“the definitive non-intellectual Romantic . . . a poe</w:t>
      </w:r>
      <w:r w:rsidR="00424631">
        <w:rPr>
          <w:rFonts w:ascii="Times New Roman" w:hAnsi="Times New Roman" w:cs="Times New Roman"/>
          <w:sz w:val="24"/>
          <w:szCs w:val="24"/>
        </w:rPr>
        <w:t>t of passion but not of thought</w:t>
      </w:r>
      <w:r w:rsidR="00703774">
        <w:rPr>
          <w:rFonts w:ascii="Times New Roman" w:hAnsi="Times New Roman" w:cs="Times New Roman"/>
          <w:sz w:val="24"/>
          <w:szCs w:val="24"/>
        </w:rPr>
        <w:t>.</w:t>
      </w:r>
      <w:r w:rsidR="00424631" w:rsidRPr="000D2E2B">
        <w:rPr>
          <w:rFonts w:ascii="Times New Roman" w:hAnsi="Times New Roman" w:cs="Times New Roman"/>
          <w:sz w:val="24"/>
          <w:szCs w:val="24"/>
        </w:rPr>
        <w:t>”</w:t>
      </w:r>
      <w:r w:rsidR="00424631">
        <w:rPr>
          <w:rStyle w:val="EndnoteReference"/>
          <w:rFonts w:ascii="Times New Roman" w:hAnsi="Times New Roman" w:cs="Times New Roman"/>
          <w:sz w:val="24"/>
          <w:szCs w:val="24"/>
        </w:rPr>
        <w:endnoteReference w:id="2"/>
      </w:r>
      <w:r w:rsidR="00424631" w:rsidRPr="000D2E2B">
        <w:rPr>
          <w:rFonts w:ascii="Times New Roman" w:hAnsi="Times New Roman" w:cs="Times New Roman"/>
          <w:sz w:val="24"/>
          <w:szCs w:val="24"/>
        </w:rPr>
        <w:t xml:space="preserve"> Goethe, Arnold, and T.S. Eliot all contributed to this underestimation of Byron’s philosophica</w:t>
      </w:r>
      <w:r w:rsidR="00424631">
        <w:rPr>
          <w:rFonts w:ascii="Times New Roman" w:hAnsi="Times New Roman" w:cs="Times New Roman"/>
          <w:sz w:val="24"/>
          <w:szCs w:val="24"/>
        </w:rPr>
        <w:t xml:space="preserve">l aptitude, with the latter going as far as </w:t>
      </w:r>
      <w:r w:rsidR="00424631" w:rsidRPr="000D2E2B">
        <w:rPr>
          <w:rFonts w:ascii="Times New Roman" w:hAnsi="Times New Roman" w:cs="Times New Roman"/>
          <w:sz w:val="24"/>
          <w:szCs w:val="24"/>
        </w:rPr>
        <w:t>conde</w:t>
      </w:r>
      <w:r w:rsidR="00424631">
        <w:rPr>
          <w:rFonts w:ascii="Times New Roman" w:hAnsi="Times New Roman" w:cs="Times New Roman"/>
          <w:sz w:val="24"/>
          <w:szCs w:val="24"/>
        </w:rPr>
        <w:t>mning</w:t>
      </w:r>
      <w:r w:rsidR="00424631" w:rsidRPr="000D2E2B">
        <w:rPr>
          <w:rFonts w:ascii="Times New Roman" w:hAnsi="Times New Roman" w:cs="Times New Roman"/>
          <w:sz w:val="24"/>
          <w:szCs w:val="24"/>
        </w:rPr>
        <w:t xml:space="preserve"> Byron from a li</w:t>
      </w:r>
      <w:r w:rsidR="00424631">
        <w:rPr>
          <w:rFonts w:ascii="Times New Roman" w:hAnsi="Times New Roman" w:cs="Times New Roman"/>
          <w:sz w:val="24"/>
          <w:szCs w:val="24"/>
        </w:rPr>
        <w:t>terally superficial perspective by</w:t>
      </w:r>
      <w:r w:rsidR="00424631" w:rsidRPr="000D2E2B">
        <w:rPr>
          <w:rFonts w:ascii="Times New Roman" w:hAnsi="Times New Roman" w:cs="Times New Roman"/>
          <w:sz w:val="24"/>
          <w:szCs w:val="24"/>
        </w:rPr>
        <w:t xml:space="preserve"> claiming that it would be impossible to spend time near even a bust of the Romantic poet – much less take his poetry seriously – due to “that weakly sensual mouth, that restless triviality of expression, and worst of all that blind look of the self-conscious beauty.”</w:t>
      </w:r>
      <w:r w:rsidR="00424631" w:rsidRPr="000D2E2B">
        <w:rPr>
          <w:rFonts w:ascii="Times New Roman" w:hAnsi="Times New Roman" w:cs="Times New Roman"/>
          <w:sz w:val="24"/>
          <w:szCs w:val="24"/>
          <w:vertAlign w:val="superscript"/>
        </w:rPr>
        <w:endnoteReference w:id="3"/>
      </w:r>
      <w:r w:rsidR="00424631" w:rsidRPr="000D2E2B">
        <w:rPr>
          <w:rFonts w:ascii="Times New Roman" w:hAnsi="Times New Roman" w:cs="Times New Roman"/>
          <w:sz w:val="24"/>
          <w:szCs w:val="24"/>
        </w:rPr>
        <w:t xml:space="preserve"> It is hard to imagine a more thorough dismissal – or a more thorough misreading. In fact, despite what Emily Bernhard Jackson calls his “spotty” formal education,</w:t>
      </w:r>
      <w:r w:rsidR="00424631" w:rsidRPr="000D2E2B">
        <w:rPr>
          <w:rFonts w:ascii="Times New Roman" w:hAnsi="Times New Roman" w:cs="Times New Roman"/>
          <w:sz w:val="24"/>
          <w:szCs w:val="24"/>
          <w:vertAlign w:val="superscript"/>
        </w:rPr>
        <w:endnoteReference w:id="4"/>
      </w:r>
      <w:r>
        <w:rPr>
          <w:rFonts w:ascii="Times New Roman" w:hAnsi="Times New Roman" w:cs="Times New Roman"/>
          <w:sz w:val="24"/>
          <w:szCs w:val="24"/>
        </w:rPr>
        <w:t xml:space="preserve"> Byron was </w:t>
      </w:r>
      <w:r w:rsidR="00424631" w:rsidRPr="000D2E2B">
        <w:rPr>
          <w:rFonts w:ascii="Times New Roman" w:hAnsi="Times New Roman" w:cs="Times New Roman"/>
          <w:sz w:val="24"/>
          <w:szCs w:val="24"/>
        </w:rPr>
        <w:t>a</w:t>
      </w:r>
      <w:r>
        <w:rPr>
          <w:rFonts w:ascii="Times New Roman" w:hAnsi="Times New Roman" w:cs="Times New Roman"/>
          <w:sz w:val="24"/>
          <w:szCs w:val="24"/>
        </w:rPr>
        <w:t>t least a</w:t>
      </w:r>
      <w:r w:rsidR="00424631" w:rsidRPr="000D2E2B">
        <w:rPr>
          <w:rFonts w:ascii="Times New Roman" w:hAnsi="Times New Roman" w:cs="Times New Roman"/>
          <w:sz w:val="24"/>
          <w:szCs w:val="24"/>
        </w:rPr>
        <w:t>s well versed in the major philosophical ideas of his time as any of the other Romantics</w:t>
      </w:r>
      <w:r>
        <w:rPr>
          <w:rFonts w:ascii="Times New Roman" w:hAnsi="Times New Roman" w:cs="Times New Roman"/>
          <w:sz w:val="24"/>
          <w:szCs w:val="24"/>
        </w:rPr>
        <w:t>: i</w:t>
      </w:r>
      <w:r w:rsidR="00424631" w:rsidRPr="000D2E2B">
        <w:rPr>
          <w:rFonts w:ascii="Times New Roman" w:hAnsi="Times New Roman" w:cs="Times New Roman"/>
          <w:sz w:val="24"/>
          <w:szCs w:val="24"/>
        </w:rPr>
        <w:t>n a letter to a friend written during his last term at Trinity College, Cambridge,</w:t>
      </w:r>
      <w:r w:rsidR="00703774">
        <w:rPr>
          <w:rFonts w:ascii="Times New Roman" w:hAnsi="Times New Roman" w:cs="Times New Roman"/>
          <w:sz w:val="24"/>
          <w:szCs w:val="24"/>
        </w:rPr>
        <w:t xml:space="preserve"> for example,</w:t>
      </w:r>
      <w:r w:rsidR="00424631" w:rsidRPr="000D2E2B">
        <w:rPr>
          <w:rFonts w:ascii="Times New Roman" w:hAnsi="Times New Roman" w:cs="Times New Roman"/>
          <w:sz w:val="24"/>
          <w:szCs w:val="24"/>
        </w:rPr>
        <w:t xml:space="preserve"> Byron records having read “Paley, Locke, Bacon, Hume, Berkeley, Drummond, Beattie, and Bolingbr</w:t>
      </w:r>
      <w:r>
        <w:rPr>
          <w:rFonts w:ascii="Times New Roman" w:hAnsi="Times New Roman" w:cs="Times New Roman"/>
          <w:sz w:val="24"/>
          <w:szCs w:val="24"/>
        </w:rPr>
        <w:t xml:space="preserve">oke . . . [and] Hobbes,” and </w:t>
      </w:r>
      <w:r w:rsidR="00424631" w:rsidRPr="000D2E2B">
        <w:rPr>
          <w:rFonts w:ascii="Times New Roman" w:hAnsi="Times New Roman" w:cs="Times New Roman"/>
          <w:sz w:val="24"/>
          <w:szCs w:val="24"/>
        </w:rPr>
        <w:t>catalogue sales of Byron’s library show he owned additional volumes by Voltaire, Dugald Stewart, and Adam Smith among others.</w:t>
      </w:r>
      <w:r w:rsidR="00424631" w:rsidRPr="000D2E2B">
        <w:rPr>
          <w:rFonts w:ascii="Times New Roman" w:hAnsi="Times New Roman" w:cs="Times New Roman"/>
          <w:sz w:val="24"/>
          <w:szCs w:val="24"/>
          <w:vertAlign w:val="superscript"/>
        </w:rPr>
        <w:endnoteReference w:id="5"/>
      </w:r>
      <w:r w:rsidR="00424631" w:rsidRPr="000D2E2B">
        <w:rPr>
          <w:rFonts w:ascii="Times New Roman" w:hAnsi="Times New Roman" w:cs="Times New Roman"/>
          <w:sz w:val="24"/>
          <w:szCs w:val="24"/>
          <w:lang w:val="en-GB"/>
        </w:rPr>
        <w:t xml:space="preserve"> </w:t>
      </w:r>
    </w:p>
    <w:p w:rsidR="00293E53" w:rsidRDefault="00ED08D3" w:rsidP="00ED08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Byron’s philosophical bona fides should no longer be doubted, however, then they nevertheless remain under the surface of most of his poetry; wi</w:t>
      </w:r>
      <w:r w:rsidR="00822CDB">
        <w:rPr>
          <w:rFonts w:ascii="Times New Roman" w:hAnsi="Times New Roman" w:cs="Times New Roman"/>
          <w:sz w:val="24"/>
          <w:szCs w:val="24"/>
        </w:rPr>
        <w:t>th the notable exceptions of</w:t>
      </w:r>
      <w:r>
        <w:rPr>
          <w:rFonts w:ascii="Times New Roman" w:hAnsi="Times New Roman" w:cs="Times New Roman"/>
          <w:sz w:val="24"/>
          <w:szCs w:val="24"/>
        </w:rPr>
        <w:t xml:space="preserve"> proto-existentialist verse dramas </w:t>
      </w:r>
      <w:r w:rsidR="00822CDB">
        <w:rPr>
          <w:rFonts w:ascii="Times New Roman" w:hAnsi="Times New Roman" w:cs="Times New Roman"/>
          <w:sz w:val="24"/>
          <w:szCs w:val="24"/>
        </w:rPr>
        <w:t xml:space="preserve">like </w:t>
      </w:r>
      <w:r>
        <w:rPr>
          <w:rFonts w:ascii="Times New Roman" w:hAnsi="Times New Roman" w:cs="Times New Roman"/>
          <w:i/>
          <w:sz w:val="24"/>
          <w:szCs w:val="24"/>
        </w:rPr>
        <w:t>Manf</w:t>
      </w:r>
      <w:r w:rsidR="00822CDB">
        <w:rPr>
          <w:rFonts w:ascii="Times New Roman" w:hAnsi="Times New Roman" w:cs="Times New Roman"/>
          <w:i/>
          <w:sz w:val="24"/>
          <w:szCs w:val="24"/>
        </w:rPr>
        <w:t>r</w:t>
      </w:r>
      <w:r>
        <w:rPr>
          <w:rFonts w:ascii="Times New Roman" w:hAnsi="Times New Roman" w:cs="Times New Roman"/>
          <w:i/>
          <w:sz w:val="24"/>
          <w:szCs w:val="24"/>
        </w:rPr>
        <w:t>ed</w:t>
      </w:r>
      <w:r>
        <w:rPr>
          <w:rFonts w:ascii="Times New Roman" w:hAnsi="Times New Roman" w:cs="Times New Roman"/>
          <w:sz w:val="24"/>
          <w:szCs w:val="24"/>
        </w:rPr>
        <w:t xml:space="preserve"> and </w:t>
      </w:r>
      <w:r>
        <w:rPr>
          <w:rFonts w:ascii="Times New Roman" w:hAnsi="Times New Roman" w:cs="Times New Roman"/>
          <w:i/>
          <w:sz w:val="24"/>
          <w:szCs w:val="24"/>
        </w:rPr>
        <w:t>Cain</w:t>
      </w:r>
      <w:r>
        <w:rPr>
          <w:rFonts w:ascii="Times New Roman" w:hAnsi="Times New Roman" w:cs="Times New Roman"/>
          <w:sz w:val="24"/>
          <w:szCs w:val="24"/>
        </w:rPr>
        <w:t xml:space="preserve">, Byron generally abjures direct or abstract philosophizing. Even as he shows little interest in the critical and idealist </w:t>
      </w:r>
      <w:r w:rsidR="00822CDB">
        <w:rPr>
          <w:rFonts w:ascii="Times New Roman" w:hAnsi="Times New Roman" w:cs="Times New Roman"/>
          <w:sz w:val="24"/>
          <w:szCs w:val="24"/>
        </w:rPr>
        <w:t xml:space="preserve">German </w:t>
      </w:r>
      <w:r>
        <w:rPr>
          <w:rFonts w:ascii="Times New Roman" w:hAnsi="Times New Roman" w:cs="Times New Roman"/>
          <w:sz w:val="24"/>
          <w:szCs w:val="24"/>
        </w:rPr>
        <w:t xml:space="preserve">philosophy </w:t>
      </w:r>
      <w:r>
        <w:rPr>
          <w:rFonts w:ascii="Times New Roman" w:hAnsi="Times New Roman" w:cs="Times New Roman"/>
          <w:sz w:val="24"/>
          <w:szCs w:val="24"/>
        </w:rPr>
        <w:lastRenderedPageBreak/>
        <w:t xml:space="preserve">that so fascinated some of his fellow Romantics (especially Coleridge), however, </w:t>
      </w:r>
      <w:r w:rsidR="00822CDB">
        <w:rPr>
          <w:rFonts w:ascii="Times New Roman" w:hAnsi="Times New Roman" w:cs="Times New Roman"/>
          <w:sz w:val="24"/>
          <w:szCs w:val="24"/>
        </w:rPr>
        <w:t>his familiarity with leading Enlightenment authors reading can be detected in</w:t>
      </w:r>
      <w:r>
        <w:rPr>
          <w:rFonts w:ascii="Times New Roman" w:hAnsi="Times New Roman" w:cs="Times New Roman"/>
          <w:sz w:val="24"/>
          <w:szCs w:val="24"/>
        </w:rPr>
        <w:t xml:space="preserve"> </w:t>
      </w:r>
      <w:r w:rsidR="00822CDB">
        <w:rPr>
          <w:rFonts w:ascii="Times New Roman" w:hAnsi="Times New Roman" w:cs="Times New Roman"/>
          <w:sz w:val="24"/>
          <w:szCs w:val="24"/>
        </w:rPr>
        <w:t>the regular presence of a</w:t>
      </w:r>
      <w:r>
        <w:rPr>
          <w:rFonts w:ascii="Times New Roman" w:hAnsi="Times New Roman" w:cs="Times New Roman"/>
          <w:sz w:val="24"/>
          <w:szCs w:val="24"/>
        </w:rPr>
        <w:t xml:space="preserve"> concept that Byron insistently and repeatedly inte</w:t>
      </w:r>
      <w:r w:rsidR="00FE7786">
        <w:rPr>
          <w:rFonts w:ascii="Times New Roman" w:hAnsi="Times New Roman" w:cs="Times New Roman"/>
          <w:sz w:val="24"/>
          <w:szCs w:val="24"/>
        </w:rPr>
        <w:t>rrogates:</w:t>
      </w:r>
      <w:r>
        <w:rPr>
          <w:rFonts w:ascii="Times New Roman" w:hAnsi="Times New Roman" w:cs="Times New Roman"/>
          <w:sz w:val="24"/>
          <w:szCs w:val="24"/>
        </w:rPr>
        <w:t xml:space="preserve"> </w:t>
      </w:r>
      <w:r w:rsidR="00822CDB">
        <w:rPr>
          <w:rFonts w:ascii="Times New Roman" w:hAnsi="Times New Roman" w:cs="Times New Roman"/>
          <w:sz w:val="24"/>
          <w:szCs w:val="24"/>
        </w:rPr>
        <w:t xml:space="preserve">“society.” As a noun, “society” </w:t>
      </w:r>
      <w:r w:rsidR="005568D8">
        <w:rPr>
          <w:rFonts w:ascii="Times New Roman" w:hAnsi="Times New Roman" w:cs="Times New Roman"/>
          <w:sz w:val="24"/>
          <w:szCs w:val="24"/>
        </w:rPr>
        <w:t>show</w:t>
      </w:r>
      <w:r w:rsidR="00FE7786">
        <w:rPr>
          <w:rFonts w:ascii="Times New Roman" w:hAnsi="Times New Roman" w:cs="Times New Roman"/>
          <w:sz w:val="24"/>
          <w:szCs w:val="24"/>
        </w:rPr>
        <w:t>s</w:t>
      </w:r>
      <w:r w:rsidR="005568D8">
        <w:rPr>
          <w:rFonts w:ascii="Times New Roman" w:hAnsi="Times New Roman" w:cs="Times New Roman"/>
          <w:sz w:val="24"/>
          <w:szCs w:val="24"/>
        </w:rPr>
        <w:t xml:space="preserve"> up regularly</w:t>
      </w:r>
      <w:r w:rsidR="00424631">
        <w:rPr>
          <w:rFonts w:ascii="Times New Roman" w:hAnsi="Times New Roman" w:cs="Times New Roman"/>
          <w:sz w:val="24"/>
          <w:szCs w:val="24"/>
        </w:rPr>
        <w:t xml:space="preserve"> in his perso</w:t>
      </w:r>
      <w:r w:rsidR="00822CDB">
        <w:rPr>
          <w:rFonts w:ascii="Times New Roman" w:hAnsi="Times New Roman" w:cs="Times New Roman"/>
          <w:sz w:val="24"/>
          <w:szCs w:val="24"/>
        </w:rPr>
        <w:t xml:space="preserve">nal letters, usually designating </w:t>
      </w:r>
      <w:r w:rsidR="00424631">
        <w:rPr>
          <w:rFonts w:ascii="Times New Roman" w:hAnsi="Times New Roman" w:cs="Times New Roman"/>
          <w:sz w:val="24"/>
          <w:szCs w:val="24"/>
        </w:rPr>
        <w:t>interesting human company or its absence, as for example when Byron complains to his half-sister Augusta that in the village</w:t>
      </w:r>
      <w:r w:rsidR="005924EF">
        <w:rPr>
          <w:rFonts w:ascii="Times New Roman" w:hAnsi="Times New Roman" w:cs="Times New Roman"/>
          <w:sz w:val="24"/>
          <w:szCs w:val="24"/>
        </w:rPr>
        <w:t xml:space="preserve"> of</w:t>
      </w:r>
      <w:r w:rsidR="00424631">
        <w:rPr>
          <w:rFonts w:ascii="Times New Roman" w:hAnsi="Times New Roman" w:cs="Times New Roman"/>
          <w:sz w:val="24"/>
          <w:szCs w:val="24"/>
        </w:rPr>
        <w:t xml:space="preserve"> Southwell, Nottinghamshire (where Byron’s mother resided from 1803 to 1809), “</w:t>
      </w:r>
      <w:r w:rsidR="00424631" w:rsidRPr="00B44F1D">
        <w:rPr>
          <w:rFonts w:ascii="Times New Roman" w:hAnsi="Times New Roman" w:cs="Times New Roman"/>
          <w:sz w:val="24"/>
          <w:szCs w:val="24"/>
        </w:rPr>
        <w:t>There are very few books of any kind that are either instructive or amusing, no society but old parsons and old Maids</w:t>
      </w:r>
      <w:r w:rsidR="00424631">
        <w:rPr>
          <w:rFonts w:ascii="Times New Roman" w:hAnsi="Times New Roman" w:cs="Times New Roman"/>
          <w:sz w:val="24"/>
          <w:szCs w:val="24"/>
        </w:rPr>
        <w:t>. . . .</w:t>
      </w:r>
      <w:r w:rsidR="00424631">
        <w:rPr>
          <w:rStyle w:val="EndnoteReference"/>
          <w:rFonts w:ascii="Times New Roman" w:hAnsi="Times New Roman" w:cs="Times New Roman"/>
          <w:sz w:val="24"/>
          <w:szCs w:val="24"/>
        </w:rPr>
        <w:endnoteReference w:id="6"/>
      </w:r>
      <w:r w:rsidR="00424631">
        <w:rPr>
          <w:rFonts w:ascii="Times New Roman" w:hAnsi="Times New Roman" w:cs="Times New Roman"/>
          <w:sz w:val="24"/>
          <w:szCs w:val="24"/>
        </w:rPr>
        <w:t xml:space="preserve"> According to the</w:t>
      </w:r>
      <w:r w:rsidR="00FA0331">
        <w:rPr>
          <w:rFonts w:ascii="Times New Roman" w:hAnsi="Times New Roman" w:cs="Times New Roman"/>
          <w:sz w:val="24"/>
          <w:szCs w:val="24"/>
        </w:rPr>
        <w:t xml:space="preserve"> Oxford English Dictionary, such</w:t>
      </w:r>
      <w:r w:rsidR="00424631">
        <w:rPr>
          <w:rFonts w:ascii="Times New Roman" w:hAnsi="Times New Roman" w:cs="Times New Roman"/>
          <w:sz w:val="24"/>
          <w:szCs w:val="24"/>
        </w:rPr>
        <w:t xml:space="preserve"> usage is very much in line with the most common</w:t>
      </w:r>
      <w:r w:rsidR="00FA0331">
        <w:rPr>
          <w:rFonts w:ascii="Times New Roman" w:hAnsi="Times New Roman" w:cs="Times New Roman"/>
          <w:sz w:val="24"/>
          <w:szCs w:val="24"/>
        </w:rPr>
        <w:t xml:space="preserve"> </w:t>
      </w:r>
      <w:r w:rsidR="00424631">
        <w:rPr>
          <w:rFonts w:ascii="Times New Roman" w:hAnsi="Times New Roman" w:cs="Times New Roman"/>
          <w:sz w:val="24"/>
          <w:szCs w:val="24"/>
        </w:rPr>
        <w:t>definition of “society” in Byron’s era as an “association or friendly interaction with other people; the company of others.” In addition to this traditional sense of the word,</w:t>
      </w:r>
      <w:r w:rsidR="00822CDB">
        <w:rPr>
          <w:rFonts w:ascii="Times New Roman" w:hAnsi="Times New Roman" w:cs="Times New Roman"/>
          <w:sz w:val="24"/>
          <w:szCs w:val="24"/>
        </w:rPr>
        <w:t xml:space="preserve"> however, a new </w:t>
      </w:r>
      <w:r w:rsidR="00424631">
        <w:rPr>
          <w:rFonts w:ascii="Times New Roman" w:hAnsi="Times New Roman" w:cs="Times New Roman"/>
          <w:sz w:val="24"/>
          <w:szCs w:val="24"/>
        </w:rPr>
        <w:t xml:space="preserve">usage was also gaining currency; thanks at least in part to the Enlightenment’s increasingly empirical approach to natural philosophy it had recently become possible to use the term “society” to designate </w:t>
      </w:r>
      <w:r w:rsidR="00424631">
        <w:rPr>
          <w:rFonts w:ascii="Times New Roman" w:hAnsi="Times New Roman" w:cs="Times New Roman"/>
          <w:sz w:val="24"/>
          <w:szCs w:val="24"/>
          <w:lang w:val="en-GB"/>
        </w:rPr>
        <w:t>t</w:t>
      </w:r>
      <w:r w:rsidR="00424631" w:rsidRPr="00095717">
        <w:rPr>
          <w:rFonts w:ascii="Times New Roman" w:hAnsi="Times New Roman" w:cs="Times New Roman"/>
          <w:sz w:val="24"/>
          <w:szCs w:val="24"/>
          <w:lang w:val="en-GB"/>
        </w:rPr>
        <w:t xml:space="preserve">he </w:t>
      </w:r>
      <w:r w:rsidR="00424631">
        <w:rPr>
          <w:rFonts w:ascii="Times New Roman" w:hAnsi="Times New Roman" w:cs="Times New Roman"/>
          <w:sz w:val="24"/>
          <w:szCs w:val="24"/>
          <w:lang w:val="en-GB"/>
        </w:rPr>
        <w:t>“</w:t>
      </w:r>
      <w:r w:rsidR="00424631" w:rsidRPr="00095717">
        <w:rPr>
          <w:rFonts w:ascii="Times New Roman" w:hAnsi="Times New Roman" w:cs="Times New Roman"/>
          <w:sz w:val="24"/>
          <w:szCs w:val="24"/>
          <w:lang w:val="en-GB"/>
        </w:rPr>
        <w:t>social organization of a group of animals of the same species; the state or condition of living in a social group.</w:t>
      </w:r>
      <w:r w:rsidR="00424631">
        <w:rPr>
          <w:rFonts w:ascii="Times New Roman" w:hAnsi="Times New Roman" w:cs="Times New Roman"/>
          <w:sz w:val="24"/>
          <w:szCs w:val="24"/>
          <w:lang w:val="en-GB"/>
        </w:rPr>
        <w:t>” (</w:t>
      </w:r>
      <w:r w:rsidR="00424631">
        <w:rPr>
          <w:rFonts w:ascii="Times New Roman" w:hAnsi="Times New Roman" w:cs="Times New Roman"/>
          <w:sz w:val="24"/>
          <w:szCs w:val="24"/>
        </w:rPr>
        <w:t xml:space="preserve">The OED quotes Erasmus Darwin, Charles Darwin’s grandfather, writing about “societies” of rabbits in 1794.) </w:t>
      </w:r>
    </w:p>
    <w:p w:rsidR="00424631" w:rsidRPr="00293E53" w:rsidRDefault="00424631" w:rsidP="00293E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OED’s wording involuntarily suggests, however, definitions of “society” are frequently so self-referential as to be nearly useless: designating society as “social organization” simply begs the question of what qualities of shared existence count as “social” in the first place. </w:t>
      </w:r>
      <w:r w:rsidR="00FE7786">
        <w:rPr>
          <w:rFonts w:ascii="Times New Roman" w:hAnsi="Times New Roman" w:cs="Times New Roman"/>
          <w:sz w:val="24"/>
          <w:szCs w:val="24"/>
        </w:rPr>
        <w:t>Today</w:t>
      </w:r>
      <w:r>
        <w:rPr>
          <w:rFonts w:ascii="Times New Roman" w:hAnsi="Times New Roman" w:cs="Times New Roman"/>
          <w:sz w:val="24"/>
          <w:szCs w:val="24"/>
        </w:rPr>
        <w:t>, we are used to attributing all kinds of effects to “society” – but what if society itself is an effect and not a cause?</w:t>
      </w:r>
      <w:r w:rsidR="00822CDB">
        <w:rPr>
          <w:rFonts w:ascii="Times New Roman" w:hAnsi="Times New Roman" w:cs="Times New Roman"/>
          <w:sz w:val="24"/>
          <w:szCs w:val="24"/>
        </w:rPr>
        <w:t xml:space="preserve"> This is a question currently being asked by many contemporary theorists, especially those interested in systems and networks. It is also, I want to argue, a question that quietly informs much of Byron’s poetic oeuvre. In what follows,</w:t>
      </w:r>
      <w:r w:rsidR="00FE7786">
        <w:rPr>
          <w:rFonts w:ascii="Times New Roman" w:hAnsi="Times New Roman" w:cs="Times New Roman"/>
          <w:sz w:val="24"/>
          <w:szCs w:val="24"/>
        </w:rPr>
        <w:t xml:space="preserve"> I will restrict</w:t>
      </w:r>
      <w:r w:rsidR="00822CDB">
        <w:rPr>
          <w:rFonts w:ascii="Times New Roman" w:hAnsi="Times New Roman" w:cs="Times New Roman"/>
          <w:sz w:val="24"/>
          <w:szCs w:val="24"/>
        </w:rPr>
        <w:t xml:space="preserve"> myself to pursuing this argument</w:t>
      </w:r>
      <w:r w:rsidR="00FE7786">
        <w:rPr>
          <w:rFonts w:ascii="Times New Roman" w:hAnsi="Times New Roman" w:cs="Times New Roman"/>
          <w:sz w:val="24"/>
          <w:szCs w:val="24"/>
        </w:rPr>
        <w:t xml:space="preserve"> by looking at </w:t>
      </w:r>
      <w:r>
        <w:rPr>
          <w:rFonts w:ascii="Times New Roman" w:hAnsi="Times New Roman" w:cs="Times New Roman"/>
          <w:sz w:val="24"/>
          <w:szCs w:val="24"/>
        </w:rPr>
        <w:t>his</w:t>
      </w:r>
      <w:r w:rsidR="00FA0331">
        <w:rPr>
          <w:rFonts w:ascii="Times New Roman" w:hAnsi="Times New Roman" w:cs="Times New Roman"/>
          <w:sz w:val="24"/>
          <w:szCs w:val="24"/>
        </w:rPr>
        <w:t xml:space="preserve"> first major poem – Canto One of </w:t>
      </w:r>
      <w:r w:rsidR="00FA0331">
        <w:rPr>
          <w:rFonts w:ascii="Times New Roman" w:hAnsi="Times New Roman" w:cs="Times New Roman"/>
          <w:i/>
          <w:sz w:val="24"/>
          <w:szCs w:val="24"/>
        </w:rPr>
        <w:t xml:space="preserve">Childe Harold’s </w:t>
      </w:r>
      <w:r w:rsidR="00FA0331">
        <w:rPr>
          <w:rFonts w:ascii="Times New Roman" w:hAnsi="Times New Roman" w:cs="Times New Roman"/>
          <w:i/>
          <w:sz w:val="24"/>
          <w:szCs w:val="24"/>
        </w:rPr>
        <w:lastRenderedPageBreak/>
        <w:t xml:space="preserve">Pilgrimage </w:t>
      </w:r>
      <w:r w:rsidR="00FA0331">
        <w:rPr>
          <w:rFonts w:ascii="Times New Roman" w:hAnsi="Times New Roman" w:cs="Times New Roman"/>
          <w:sz w:val="24"/>
          <w:szCs w:val="24"/>
        </w:rPr>
        <w:t>--</w:t>
      </w:r>
      <w:r>
        <w:rPr>
          <w:rFonts w:ascii="Times New Roman" w:hAnsi="Times New Roman" w:cs="Times New Roman"/>
          <w:sz w:val="24"/>
          <w:szCs w:val="24"/>
        </w:rPr>
        <w:t xml:space="preserve"> in tandem with concepts generated by</w:t>
      </w:r>
      <w:r w:rsidR="00FA0331">
        <w:rPr>
          <w:rFonts w:ascii="Times New Roman" w:hAnsi="Times New Roman" w:cs="Times New Roman"/>
          <w:sz w:val="24"/>
          <w:szCs w:val="24"/>
        </w:rPr>
        <w:t xml:space="preserve"> one</w:t>
      </w:r>
      <w:r>
        <w:rPr>
          <w:rFonts w:ascii="Times New Roman" w:hAnsi="Times New Roman" w:cs="Times New Roman"/>
          <w:sz w:val="24"/>
          <w:szCs w:val="24"/>
        </w:rPr>
        <w:t xml:space="preserve"> of today’s most important</w:t>
      </w:r>
      <w:r w:rsidR="00FA0331">
        <w:rPr>
          <w:rFonts w:ascii="Times New Roman" w:hAnsi="Times New Roman" w:cs="Times New Roman"/>
          <w:sz w:val="24"/>
          <w:szCs w:val="24"/>
        </w:rPr>
        <w:t xml:space="preserve"> </w:t>
      </w:r>
      <w:r>
        <w:rPr>
          <w:rFonts w:ascii="Times New Roman" w:hAnsi="Times New Roman" w:cs="Times New Roman"/>
          <w:sz w:val="24"/>
          <w:szCs w:val="24"/>
        </w:rPr>
        <w:t>theorists of “the social</w:t>
      </w:r>
      <w:r w:rsidR="00822CDB">
        <w:rPr>
          <w:rFonts w:ascii="Times New Roman" w:hAnsi="Times New Roman" w:cs="Times New Roman"/>
          <w:sz w:val="24"/>
          <w:szCs w:val="24"/>
        </w:rPr>
        <w:t xml:space="preserve">,” </w:t>
      </w:r>
      <w:r>
        <w:rPr>
          <w:rFonts w:ascii="Times New Roman" w:hAnsi="Times New Roman" w:cs="Times New Roman"/>
          <w:sz w:val="24"/>
          <w:szCs w:val="24"/>
        </w:rPr>
        <w:t xml:space="preserve">Bruno Latour.  </w:t>
      </w:r>
      <w:r w:rsidR="00B756B9">
        <w:rPr>
          <w:rFonts w:ascii="Times New Roman" w:hAnsi="Times New Roman" w:cs="Times New Roman"/>
          <w:sz w:val="24"/>
          <w:szCs w:val="24"/>
        </w:rPr>
        <w:t>If Latour is our contemporary “Prince of Networks,” as the title of a recent study only half-jokingly suggests,</w:t>
      </w:r>
      <w:r w:rsidR="00B756B9" w:rsidRPr="00B756B9">
        <w:rPr>
          <w:rFonts w:ascii="Times New Roman" w:hAnsi="Times New Roman" w:cs="Times New Roman"/>
          <w:sz w:val="24"/>
          <w:szCs w:val="24"/>
          <w:vertAlign w:val="superscript"/>
        </w:rPr>
        <w:endnoteReference w:id="7"/>
      </w:r>
      <w:r w:rsidR="00B756B9">
        <w:rPr>
          <w:rFonts w:ascii="Times New Roman" w:hAnsi="Times New Roman" w:cs="Times New Roman"/>
          <w:sz w:val="24"/>
          <w:szCs w:val="24"/>
        </w:rPr>
        <w:t xml:space="preserve"> then Byron deserves to be recognized as their Romantic-era Lord.</w:t>
      </w:r>
    </w:p>
    <w:p w:rsidR="00424631" w:rsidRPr="009B1B6D" w:rsidRDefault="00424631" w:rsidP="0042463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 * * *</w:t>
      </w:r>
    </w:p>
    <w:p w:rsidR="00424631" w:rsidRPr="00351784" w:rsidRDefault="00424631" w:rsidP="00424631">
      <w:pPr>
        <w:spacing w:line="480" w:lineRule="auto"/>
        <w:ind w:firstLine="720"/>
        <w:rPr>
          <w:rFonts w:ascii="Times New Roman" w:hAnsi="Times New Roman" w:cs="Times New Roman"/>
          <w:sz w:val="24"/>
          <w:szCs w:val="24"/>
        </w:rPr>
      </w:pPr>
      <w:r w:rsidRPr="00351784">
        <w:rPr>
          <w:rFonts w:ascii="Times New Roman" w:hAnsi="Times New Roman" w:cs="Times New Roman"/>
          <w:sz w:val="24"/>
          <w:szCs w:val="24"/>
        </w:rPr>
        <w:t xml:space="preserve">Two-thirds of the way through Canto One of </w:t>
      </w:r>
      <w:r w:rsidRPr="00351784">
        <w:rPr>
          <w:rFonts w:ascii="Times New Roman" w:hAnsi="Times New Roman" w:cs="Times New Roman"/>
          <w:i/>
          <w:sz w:val="24"/>
          <w:szCs w:val="24"/>
        </w:rPr>
        <w:t>Childe Harold’s Pilgrimage</w:t>
      </w:r>
      <w:r w:rsidRPr="00351784">
        <w:rPr>
          <w:rFonts w:ascii="Times New Roman" w:hAnsi="Times New Roman" w:cs="Times New Roman"/>
          <w:sz w:val="24"/>
          <w:szCs w:val="24"/>
        </w:rPr>
        <w:t xml:space="preserve">, </w:t>
      </w:r>
      <w:r>
        <w:rPr>
          <w:rFonts w:ascii="Times New Roman" w:hAnsi="Times New Roman" w:cs="Times New Roman"/>
          <w:sz w:val="24"/>
          <w:szCs w:val="24"/>
        </w:rPr>
        <w:t xml:space="preserve">Byron’s eponymous </w:t>
      </w:r>
      <w:r w:rsidRPr="00351784">
        <w:rPr>
          <w:rFonts w:ascii="Times New Roman" w:hAnsi="Times New Roman" w:cs="Times New Roman"/>
          <w:sz w:val="24"/>
          <w:szCs w:val="24"/>
        </w:rPr>
        <w:t>hero finds hi</w:t>
      </w:r>
      <w:r>
        <w:rPr>
          <w:rFonts w:ascii="Times New Roman" w:hAnsi="Times New Roman" w:cs="Times New Roman"/>
          <w:sz w:val="24"/>
          <w:szCs w:val="24"/>
        </w:rPr>
        <w:t>mself in Cadiz, a port city in s</w:t>
      </w:r>
      <w:r w:rsidRPr="00351784">
        <w:rPr>
          <w:rFonts w:ascii="Times New Roman" w:hAnsi="Times New Roman" w:cs="Times New Roman"/>
          <w:sz w:val="24"/>
          <w:szCs w:val="24"/>
        </w:rPr>
        <w:t xml:space="preserve">outhwest </w:t>
      </w:r>
      <w:r>
        <w:rPr>
          <w:rFonts w:ascii="Times New Roman" w:hAnsi="Times New Roman" w:cs="Times New Roman"/>
          <w:sz w:val="24"/>
          <w:szCs w:val="24"/>
        </w:rPr>
        <w:t>Spain, on a Sunday. We know it’</w:t>
      </w:r>
      <w:r w:rsidRPr="00351784">
        <w:rPr>
          <w:rFonts w:ascii="Times New Roman" w:hAnsi="Times New Roman" w:cs="Times New Roman"/>
          <w:sz w:val="24"/>
          <w:szCs w:val="24"/>
        </w:rPr>
        <w:t>s Sunday because th</w:t>
      </w:r>
      <w:r>
        <w:rPr>
          <w:rFonts w:ascii="Times New Roman" w:hAnsi="Times New Roman" w:cs="Times New Roman"/>
          <w:sz w:val="24"/>
          <w:szCs w:val="24"/>
        </w:rPr>
        <w:t xml:space="preserve">e previous stanza describes the Christian </w:t>
      </w:r>
      <w:r w:rsidRPr="00351784">
        <w:rPr>
          <w:rFonts w:ascii="Times New Roman" w:hAnsi="Times New Roman" w:cs="Times New Roman"/>
          <w:sz w:val="24"/>
          <w:szCs w:val="24"/>
        </w:rPr>
        <w:t xml:space="preserve">day of rest </w:t>
      </w:r>
      <w:r>
        <w:rPr>
          <w:rFonts w:ascii="Times New Roman" w:hAnsi="Times New Roman" w:cs="Times New Roman"/>
          <w:sz w:val="24"/>
          <w:szCs w:val="24"/>
        </w:rPr>
        <w:t>as it is observed</w:t>
      </w:r>
      <w:r w:rsidRPr="00351784">
        <w:rPr>
          <w:rFonts w:ascii="Times New Roman" w:hAnsi="Times New Roman" w:cs="Times New Roman"/>
          <w:sz w:val="24"/>
          <w:szCs w:val="24"/>
        </w:rPr>
        <w:t xml:space="preserve"> in L</w:t>
      </w:r>
      <w:r>
        <w:rPr>
          <w:rFonts w:ascii="Times New Roman" w:hAnsi="Times New Roman" w:cs="Times New Roman"/>
          <w:sz w:val="24"/>
          <w:szCs w:val="24"/>
        </w:rPr>
        <w:t>ondon, Harold’s native capital:</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 xml:space="preserve">The seventh day this; the jubilee of man. </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London!  right well thou know’st the day of prayer:</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Then thy spruce citizen, wash’d artisan,</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And smug apprentice gulp their weekly air:</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The coach of Hackney, whiskey, one-horse chair,</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And humblest gig through sundry suburbs whirl,</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To Hampstead, Brentford, Harrow make repair;</w:t>
      </w:r>
    </w:p>
    <w:p w:rsidR="00424631" w:rsidRPr="00351784"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Till the tir’d jade the wheel forgets to hurl,</w:t>
      </w:r>
    </w:p>
    <w:p w:rsidR="00424631" w:rsidRDefault="00424631" w:rsidP="00424631">
      <w:pPr>
        <w:rPr>
          <w:rFonts w:ascii="Times New Roman" w:hAnsi="Times New Roman" w:cs="Times New Roman"/>
          <w:sz w:val="24"/>
          <w:szCs w:val="24"/>
        </w:rPr>
      </w:pPr>
      <w:r w:rsidRPr="00351784">
        <w:rPr>
          <w:rFonts w:ascii="Times New Roman" w:hAnsi="Times New Roman" w:cs="Times New Roman"/>
          <w:sz w:val="24"/>
          <w:szCs w:val="24"/>
        </w:rPr>
        <w:tab/>
        <w:t>Provoking envious gibe from each pedestrian Churl.</w:t>
      </w:r>
      <w:r w:rsidRPr="00351784">
        <w:rPr>
          <w:rStyle w:val="EndnoteReference"/>
          <w:rFonts w:ascii="Times New Roman" w:hAnsi="Times New Roman" w:cs="Times New Roman"/>
          <w:sz w:val="24"/>
          <w:szCs w:val="24"/>
        </w:rPr>
        <w:endnoteReference w:id="8"/>
      </w:r>
    </w:p>
    <w:p w:rsidR="00424631" w:rsidRPr="00351784" w:rsidRDefault="00424631" w:rsidP="00424631">
      <w:pPr>
        <w:rPr>
          <w:rFonts w:ascii="Times New Roman" w:hAnsi="Times New Roman" w:cs="Times New Roman"/>
          <w:sz w:val="24"/>
          <w:szCs w:val="24"/>
        </w:rPr>
      </w:pPr>
    </w:p>
    <w:p w:rsidR="00424631" w:rsidRPr="00351784" w:rsidRDefault="00424631" w:rsidP="00424631">
      <w:pPr>
        <w:spacing w:line="480" w:lineRule="auto"/>
        <w:rPr>
          <w:rFonts w:ascii="Times New Roman" w:hAnsi="Times New Roman" w:cs="Times New Roman"/>
          <w:sz w:val="24"/>
          <w:szCs w:val="24"/>
        </w:rPr>
      </w:pPr>
      <w:r>
        <w:rPr>
          <w:rFonts w:ascii="Times New Roman" w:hAnsi="Times New Roman" w:cs="Times New Roman"/>
          <w:sz w:val="24"/>
          <w:szCs w:val="24"/>
        </w:rPr>
        <w:t>This is an un</w:t>
      </w:r>
      <w:r w:rsidRPr="00351784">
        <w:rPr>
          <w:rFonts w:ascii="Times New Roman" w:hAnsi="Times New Roman" w:cs="Times New Roman"/>
          <w:sz w:val="24"/>
          <w:szCs w:val="24"/>
        </w:rPr>
        <w:t>orthodo</w:t>
      </w:r>
      <w:r>
        <w:rPr>
          <w:rFonts w:ascii="Times New Roman" w:hAnsi="Times New Roman" w:cs="Times New Roman"/>
          <w:sz w:val="24"/>
          <w:szCs w:val="24"/>
        </w:rPr>
        <w:t xml:space="preserve">x description of Sabbath-day observations, to be sure, but </w:t>
      </w:r>
      <w:r w:rsidRPr="00351784">
        <w:rPr>
          <w:rFonts w:ascii="Times New Roman" w:hAnsi="Times New Roman" w:cs="Times New Roman"/>
          <w:sz w:val="24"/>
          <w:szCs w:val="24"/>
        </w:rPr>
        <w:t xml:space="preserve">it </w:t>
      </w:r>
      <w:r>
        <w:rPr>
          <w:rFonts w:ascii="Times New Roman" w:hAnsi="Times New Roman" w:cs="Times New Roman"/>
          <w:sz w:val="24"/>
          <w:szCs w:val="24"/>
        </w:rPr>
        <w:t>maintains</w:t>
      </w:r>
      <w:r w:rsidRPr="00351784">
        <w:rPr>
          <w:rFonts w:ascii="Times New Roman" w:hAnsi="Times New Roman" w:cs="Times New Roman"/>
          <w:sz w:val="24"/>
          <w:szCs w:val="24"/>
        </w:rPr>
        <w:t xml:space="preserve"> the world-weary, rueful attitude of bemused observation that Byron, vi</w:t>
      </w:r>
      <w:r>
        <w:rPr>
          <w:rFonts w:ascii="Times New Roman" w:hAnsi="Times New Roman" w:cs="Times New Roman"/>
          <w:sz w:val="24"/>
          <w:szCs w:val="24"/>
        </w:rPr>
        <w:t>a his eponymous mouthpiece, has already deployed in his previous</w:t>
      </w:r>
      <w:r w:rsidRPr="00351784">
        <w:rPr>
          <w:rFonts w:ascii="Times New Roman" w:hAnsi="Times New Roman" w:cs="Times New Roman"/>
          <w:sz w:val="24"/>
          <w:szCs w:val="24"/>
        </w:rPr>
        <w:t xml:space="preserve"> descriptions of southern and western Europe du</w:t>
      </w:r>
      <w:r>
        <w:rPr>
          <w:rFonts w:ascii="Times New Roman" w:hAnsi="Times New Roman" w:cs="Times New Roman"/>
          <w:sz w:val="24"/>
          <w:szCs w:val="24"/>
        </w:rPr>
        <w:t xml:space="preserve">ring the Peninsular War. </w:t>
      </w:r>
      <w:r w:rsidRPr="00351784">
        <w:rPr>
          <w:rFonts w:ascii="Times New Roman" w:hAnsi="Times New Roman" w:cs="Times New Roman"/>
          <w:sz w:val="24"/>
          <w:szCs w:val="24"/>
        </w:rPr>
        <w:t>Harold has</w:t>
      </w:r>
      <w:r>
        <w:rPr>
          <w:rFonts w:ascii="Times New Roman" w:hAnsi="Times New Roman" w:cs="Times New Roman"/>
          <w:sz w:val="24"/>
          <w:szCs w:val="24"/>
        </w:rPr>
        <w:t xml:space="preserve"> already</w:t>
      </w:r>
      <w:r w:rsidRPr="00351784">
        <w:rPr>
          <w:rFonts w:ascii="Times New Roman" w:hAnsi="Times New Roman" w:cs="Times New Roman"/>
          <w:sz w:val="24"/>
          <w:szCs w:val="24"/>
        </w:rPr>
        <w:t xml:space="preserve"> left Britain for the Continent</w:t>
      </w:r>
      <w:r w:rsidR="00306B5A">
        <w:rPr>
          <w:rFonts w:ascii="Times New Roman" w:hAnsi="Times New Roman" w:cs="Times New Roman"/>
          <w:sz w:val="24"/>
          <w:szCs w:val="24"/>
        </w:rPr>
        <w:t>, for reasons that remain murky</w:t>
      </w:r>
      <w:r>
        <w:rPr>
          <w:rFonts w:ascii="Times New Roman" w:hAnsi="Times New Roman" w:cs="Times New Roman"/>
          <w:sz w:val="24"/>
          <w:szCs w:val="24"/>
        </w:rPr>
        <w:t xml:space="preserve">; </w:t>
      </w:r>
      <w:r w:rsidRPr="00351784">
        <w:rPr>
          <w:rFonts w:ascii="Times New Roman" w:hAnsi="Times New Roman" w:cs="Times New Roman"/>
          <w:sz w:val="24"/>
          <w:szCs w:val="24"/>
        </w:rPr>
        <w:lastRenderedPageBreak/>
        <w:t>Byron himse</w:t>
      </w:r>
      <w:r>
        <w:rPr>
          <w:rFonts w:ascii="Times New Roman" w:hAnsi="Times New Roman" w:cs="Times New Roman"/>
          <w:sz w:val="24"/>
          <w:szCs w:val="24"/>
        </w:rPr>
        <w:t xml:space="preserve">lf would follow Harold’s lead </w:t>
      </w:r>
      <w:r w:rsidRPr="00351784">
        <w:rPr>
          <w:rFonts w:ascii="Times New Roman" w:hAnsi="Times New Roman" w:cs="Times New Roman"/>
          <w:sz w:val="24"/>
          <w:szCs w:val="24"/>
        </w:rPr>
        <w:t>in April 1816</w:t>
      </w:r>
      <w:r>
        <w:rPr>
          <w:rFonts w:ascii="Times New Roman" w:hAnsi="Times New Roman" w:cs="Times New Roman"/>
          <w:sz w:val="24"/>
          <w:szCs w:val="24"/>
        </w:rPr>
        <w:t>.</w:t>
      </w:r>
      <w:r w:rsidRPr="00351784">
        <w:rPr>
          <w:rFonts w:ascii="Times New Roman" w:hAnsi="Times New Roman" w:cs="Times New Roman"/>
          <w:sz w:val="24"/>
          <w:szCs w:val="24"/>
        </w:rPr>
        <w:t xml:space="preserve"> </w:t>
      </w:r>
      <w:r>
        <w:rPr>
          <w:rFonts w:ascii="Times New Roman" w:hAnsi="Times New Roman" w:cs="Times New Roman"/>
          <w:sz w:val="24"/>
          <w:szCs w:val="24"/>
        </w:rPr>
        <w:t>W</w:t>
      </w:r>
      <w:r w:rsidRPr="00351784">
        <w:rPr>
          <w:rFonts w:ascii="Times New Roman" w:hAnsi="Times New Roman" w:cs="Times New Roman"/>
          <w:sz w:val="24"/>
          <w:szCs w:val="24"/>
        </w:rPr>
        <w:t>hen Harold cal</w:t>
      </w:r>
      <w:r>
        <w:rPr>
          <w:rFonts w:ascii="Times New Roman" w:hAnsi="Times New Roman" w:cs="Times New Roman"/>
          <w:sz w:val="24"/>
          <w:szCs w:val="24"/>
        </w:rPr>
        <w:t xml:space="preserve">ls to mind </w:t>
      </w:r>
      <w:r w:rsidRPr="00351784">
        <w:rPr>
          <w:rFonts w:ascii="Times New Roman" w:hAnsi="Times New Roman" w:cs="Times New Roman"/>
          <w:sz w:val="24"/>
          <w:szCs w:val="24"/>
        </w:rPr>
        <w:t>the Sabbatarian rituals of Londoners,</w:t>
      </w:r>
      <w:r>
        <w:rPr>
          <w:rFonts w:ascii="Times New Roman" w:hAnsi="Times New Roman" w:cs="Times New Roman"/>
          <w:sz w:val="24"/>
          <w:szCs w:val="24"/>
        </w:rPr>
        <w:t xml:space="preserve"> then,</w:t>
      </w:r>
      <w:r w:rsidRPr="00351784">
        <w:rPr>
          <w:rFonts w:ascii="Times New Roman" w:hAnsi="Times New Roman" w:cs="Times New Roman"/>
          <w:sz w:val="24"/>
          <w:szCs w:val="24"/>
        </w:rPr>
        <w:t xml:space="preserve"> he does so from a position of </w:t>
      </w:r>
      <w:r>
        <w:rPr>
          <w:rFonts w:ascii="Times New Roman" w:hAnsi="Times New Roman" w:cs="Times New Roman"/>
          <w:sz w:val="24"/>
          <w:szCs w:val="24"/>
        </w:rPr>
        <w:t>geographical distance but cultural proximity. He knows,</w:t>
      </w:r>
      <w:r w:rsidRPr="00351784">
        <w:rPr>
          <w:rFonts w:ascii="Times New Roman" w:hAnsi="Times New Roman" w:cs="Times New Roman"/>
          <w:sz w:val="24"/>
          <w:szCs w:val="24"/>
        </w:rPr>
        <w:t xml:space="preserve"> </w:t>
      </w:r>
      <w:r>
        <w:rPr>
          <w:rFonts w:ascii="Times New Roman" w:hAnsi="Times New Roman" w:cs="Times New Roman"/>
          <w:sz w:val="24"/>
          <w:szCs w:val="24"/>
        </w:rPr>
        <w:t>that is, what all of this seemingly arbitrary hustle and bustle portends:</w:t>
      </w:r>
    </w:p>
    <w:p w:rsidR="00424631" w:rsidRPr="00351784" w:rsidRDefault="00424631" w:rsidP="00424631">
      <w:pPr>
        <w:spacing w:line="240" w:lineRule="auto"/>
        <w:ind w:firstLine="720"/>
        <w:rPr>
          <w:rFonts w:ascii="Times New Roman" w:hAnsi="Times New Roman" w:cs="Times New Roman"/>
          <w:sz w:val="24"/>
          <w:szCs w:val="24"/>
        </w:rPr>
      </w:pPr>
      <w:r w:rsidRPr="00351784">
        <w:rPr>
          <w:rFonts w:ascii="Times New Roman" w:hAnsi="Times New Roman" w:cs="Times New Roman"/>
          <w:sz w:val="24"/>
          <w:szCs w:val="24"/>
        </w:rPr>
        <w:t>Ask ye, Boetian shades! the reason why?</w:t>
      </w:r>
      <w:r w:rsidRPr="00351784">
        <w:rPr>
          <w:rFonts w:ascii="Times New Roman" w:hAnsi="Times New Roman" w:cs="Times New Roman"/>
          <w:sz w:val="24"/>
          <w:szCs w:val="24"/>
        </w:rPr>
        <w:tab/>
      </w:r>
    </w:p>
    <w:p w:rsidR="00424631" w:rsidRPr="00351784" w:rsidRDefault="00424631" w:rsidP="00424631">
      <w:pPr>
        <w:spacing w:line="240" w:lineRule="auto"/>
        <w:ind w:firstLine="720"/>
        <w:rPr>
          <w:rFonts w:ascii="Times New Roman" w:hAnsi="Times New Roman" w:cs="Times New Roman"/>
          <w:sz w:val="24"/>
          <w:szCs w:val="24"/>
        </w:rPr>
      </w:pPr>
      <w:r w:rsidRPr="00351784">
        <w:rPr>
          <w:rFonts w:ascii="Times New Roman" w:hAnsi="Times New Roman" w:cs="Times New Roman"/>
          <w:sz w:val="24"/>
          <w:szCs w:val="24"/>
        </w:rPr>
        <w:t>‘Tis to the worship of the solemn Horn,</w:t>
      </w:r>
    </w:p>
    <w:p w:rsidR="00424631" w:rsidRPr="00351784" w:rsidRDefault="00424631" w:rsidP="00424631">
      <w:pPr>
        <w:spacing w:line="240" w:lineRule="auto"/>
        <w:ind w:firstLine="720"/>
        <w:rPr>
          <w:rFonts w:ascii="Times New Roman" w:hAnsi="Times New Roman" w:cs="Times New Roman"/>
          <w:sz w:val="24"/>
          <w:szCs w:val="24"/>
        </w:rPr>
      </w:pPr>
      <w:r w:rsidRPr="00351784">
        <w:rPr>
          <w:rFonts w:ascii="Times New Roman" w:hAnsi="Times New Roman" w:cs="Times New Roman"/>
          <w:sz w:val="24"/>
          <w:szCs w:val="24"/>
        </w:rPr>
        <w:t>Grasp’d in the holy hand of Mystery,</w:t>
      </w:r>
    </w:p>
    <w:p w:rsidR="00424631" w:rsidRPr="00351784" w:rsidRDefault="00424631" w:rsidP="00424631">
      <w:pPr>
        <w:spacing w:line="240" w:lineRule="auto"/>
        <w:ind w:firstLine="720"/>
        <w:rPr>
          <w:rFonts w:ascii="Times New Roman" w:hAnsi="Times New Roman" w:cs="Times New Roman"/>
          <w:sz w:val="24"/>
          <w:szCs w:val="24"/>
        </w:rPr>
      </w:pPr>
      <w:r w:rsidRPr="00351784">
        <w:rPr>
          <w:rFonts w:ascii="Times New Roman" w:hAnsi="Times New Roman" w:cs="Times New Roman"/>
          <w:sz w:val="24"/>
          <w:szCs w:val="24"/>
        </w:rPr>
        <w:t>In whose dread name both men and maids are sworn,</w:t>
      </w:r>
    </w:p>
    <w:p w:rsidR="00424631" w:rsidRDefault="00424631" w:rsidP="00424631">
      <w:pPr>
        <w:spacing w:line="240" w:lineRule="auto"/>
        <w:ind w:firstLine="720"/>
        <w:rPr>
          <w:rFonts w:ascii="Times New Roman" w:hAnsi="Times New Roman" w:cs="Times New Roman"/>
          <w:sz w:val="24"/>
          <w:szCs w:val="24"/>
        </w:rPr>
      </w:pPr>
      <w:r w:rsidRPr="00351784">
        <w:rPr>
          <w:rFonts w:ascii="Times New Roman" w:hAnsi="Times New Roman" w:cs="Times New Roman"/>
          <w:sz w:val="24"/>
          <w:szCs w:val="24"/>
        </w:rPr>
        <w:t>And consecrate the oath with draught, and dance till morn.</w:t>
      </w:r>
      <w:r>
        <w:rPr>
          <w:rFonts w:ascii="Times New Roman" w:hAnsi="Times New Roman" w:cs="Times New Roman"/>
          <w:sz w:val="24"/>
          <w:szCs w:val="24"/>
        </w:rPr>
        <w:t xml:space="preserve">   (I.70.706</w:t>
      </w:r>
      <w:r w:rsidRPr="00351784">
        <w:rPr>
          <w:rFonts w:ascii="Times New Roman" w:hAnsi="Times New Roman" w:cs="Times New Roman"/>
          <w:sz w:val="24"/>
          <w:szCs w:val="24"/>
        </w:rPr>
        <w:t>-10)</w:t>
      </w:r>
    </w:p>
    <w:p w:rsidR="00424631" w:rsidRDefault="00424631" w:rsidP="00424631">
      <w:pPr>
        <w:spacing w:line="240" w:lineRule="auto"/>
        <w:ind w:firstLine="720"/>
        <w:rPr>
          <w:rFonts w:ascii="Times New Roman" w:hAnsi="Times New Roman" w:cs="Times New Roman"/>
          <w:sz w:val="24"/>
          <w:szCs w:val="24"/>
        </w:rPr>
      </w:pPr>
    </w:p>
    <w:p w:rsidR="00424631" w:rsidRDefault="00424631" w:rsidP="00424631">
      <w:pPr>
        <w:spacing w:line="480" w:lineRule="auto"/>
        <w:rPr>
          <w:rFonts w:ascii="Times New Roman" w:hAnsi="Times New Roman" w:cs="Times New Roman"/>
          <w:sz w:val="24"/>
          <w:szCs w:val="24"/>
        </w:rPr>
      </w:pPr>
      <w:r>
        <w:rPr>
          <w:rFonts w:ascii="Times New Roman" w:hAnsi="Times New Roman" w:cs="Times New Roman"/>
          <w:sz w:val="24"/>
          <w:szCs w:val="24"/>
        </w:rPr>
        <w:t>Far from enjoying their Sabbath rest in an appropriately pious fashion, Londoners rush after church to prepare themselves</w:t>
      </w:r>
      <w:r w:rsidRPr="00351784">
        <w:rPr>
          <w:rFonts w:ascii="Times New Roman" w:hAnsi="Times New Roman" w:cs="Times New Roman"/>
          <w:sz w:val="24"/>
          <w:szCs w:val="24"/>
        </w:rPr>
        <w:t xml:space="preserve"> for “The worship of the solemn Horn</w:t>
      </w:r>
      <w:r>
        <w:rPr>
          <w:rFonts w:ascii="Times New Roman" w:hAnsi="Times New Roman" w:cs="Times New Roman"/>
          <w:sz w:val="24"/>
          <w:szCs w:val="24"/>
        </w:rPr>
        <w:t xml:space="preserve">”: </w:t>
      </w:r>
      <w:r w:rsidRPr="006C59B4">
        <w:rPr>
          <w:rFonts w:ascii="Times New Roman" w:hAnsi="Times New Roman" w:cs="Times New Roman"/>
          <w:i/>
          <w:sz w:val="24"/>
          <w:szCs w:val="24"/>
        </w:rPr>
        <w:t>not</w:t>
      </w:r>
      <w:r>
        <w:rPr>
          <w:rFonts w:ascii="Times New Roman" w:hAnsi="Times New Roman" w:cs="Times New Roman"/>
          <w:sz w:val="24"/>
          <w:szCs w:val="24"/>
        </w:rPr>
        <w:t xml:space="preserve"> another religious ceremony, despite Byron’s ironic use of sacred vocabulary, but rather a</w:t>
      </w:r>
      <w:r w:rsidRPr="00351784">
        <w:rPr>
          <w:rFonts w:ascii="Times New Roman" w:hAnsi="Times New Roman" w:cs="Times New Roman"/>
          <w:sz w:val="24"/>
          <w:szCs w:val="24"/>
        </w:rPr>
        <w:t xml:space="preserve"> Highgate pub tradition </w:t>
      </w:r>
      <w:r>
        <w:rPr>
          <w:rFonts w:ascii="Times New Roman" w:hAnsi="Times New Roman" w:cs="Times New Roman"/>
          <w:sz w:val="24"/>
          <w:szCs w:val="24"/>
        </w:rPr>
        <w:t>in which the initiate promises</w:t>
      </w:r>
      <w:r w:rsidRPr="00351784">
        <w:rPr>
          <w:rFonts w:ascii="Times New Roman" w:hAnsi="Times New Roman" w:cs="Times New Roman"/>
          <w:sz w:val="24"/>
          <w:szCs w:val="24"/>
        </w:rPr>
        <w:t xml:space="preserve"> to devote himself to merriment and debauchery. </w:t>
      </w:r>
    </w:p>
    <w:p w:rsidR="00E32C59" w:rsidRDefault="00424631" w:rsidP="00E32C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Readers of the </w:t>
      </w:r>
      <w:r w:rsidRPr="009D17C6">
        <w:rPr>
          <w:rFonts w:ascii="Times New Roman" w:hAnsi="Times New Roman" w:cs="Times New Roman"/>
          <w:i/>
          <w:sz w:val="24"/>
          <w:szCs w:val="24"/>
        </w:rPr>
        <w:t>Pilgrimage</w:t>
      </w:r>
      <w:r>
        <w:rPr>
          <w:rFonts w:ascii="Times New Roman" w:hAnsi="Times New Roman" w:cs="Times New Roman"/>
          <w:sz w:val="24"/>
          <w:szCs w:val="24"/>
        </w:rPr>
        <w:t xml:space="preserve"> will</w:t>
      </w:r>
      <w:r w:rsidRPr="00351784">
        <w:rPr>
          <w:rFonts w:ascii="Times New Roman" w:hAnsi="Times New Roman" w:cs="Times New Roman"/>
          <w:sz w:val="24"/>
          <w:szCs w:val="24"/>
        </w:rPr>
        <w:t xml:space="preserve"> not be surprised by this turn of eve</w:t>
      </w:r>
      <w:r w:rsidR="00306B5A">
        <w:rPr>
          <w:rFonts w:ascii="Times New Roman" w:hAnsi="Times New Roman" w:cs="Times New Roman"/>
          <w:sz w:val="24"/>
          <w:szCs w:val="24"/>
        </w:rPr>
        <w:t>nts;</w:t>
      </w:r>
      <w:r>
        <w:rPr>
          <w:rFonts w:ascii="Times New Roman" w:hAnsi="Times New Roman" w:cs="Times New Roman"/>
          <w:sz w:val="24"/>
          <w:szCs w:val="24"/>
        </w:rPr>
        <w:t xml:space="preserve"> it is merely the latest twist in what Harold earlier</w:t>
      </w:r>
      <w:r w:rsidRPr="00351784">
        <w:rPr>
          <w:rFonts w:ascii="Times New Roman" w:hAnsi="Times New Roman" w:cs="Times New Roman"/>
          <w:sz w:val="24"/>
          <w:szCs w:val="24"/>
        </w:rPr>
        <w:t xml:space="preserve"> describes as “Sin’s long labyrinth” (1.6.37) which </w:t>
      </w:r>
      <w:r>
        <w:rPr>
          <w:rFonts w:ascii="Times New Roman" w:hAnsi="Times New Roman" w:cs="Times New Roman"/>
          <w:sz w:val="24"/>
          <w:szCs w:val="24"/>
        </w:rPr>
        <w:t>he</w:t>
      </w:r>
      <w:r w:rsidRPr="00351784">
        <w:rPr>
          <w:rFonts w:ascii="Times New Roman" w:hAnsi="Times New Roman" w:cs="Times New Roman"/>
          <w:sz w:val="24"/>
          <w:szCs w:val="24"/>
        </w:rPr>
        <w:t xml:space="preserve"> has been navigating.</w:t>
      </w:r>
      <w:r>
        <w:rPr>
          <w:rFonts w:ascii="Times New Roman" w:hAnsi="Times New Roman" w:cs="Times New Roman"/>
          <w:sz w:val="24"/>
          <w:szCs w:val="24"/>
        </w:rPr>
        <w:t xml:space="preserve"> At issue</w:t>
      </w:r>
      <w:r w:rsidR="00306B5A">
        <w:rPr>
          <w:rFonts w:ascii="Times New Roman" w:hAnsi="Times New Roman" w:cs="Times New Roman"/>
          <w:sz w:val="24"/>
          <w:szCs w:val="24"/>
        </w:rPr>
        <w:t xml:space="preserve"> </w:t>
      </w:r>
      <w:r>
        <w:rPr>
          <w:rFonts w:ascii="Times New Roman" w:hAnsi="Times New Roman" w:cs="Times New Roman"/>
          <w:sz w:val="24"/>
          <w:szCs w:val="24"/>
        </w:rPr>
        <w:t>is British hypocrisy:</w:t>
      </w:r>
      <w:r w:rsidRPr="00351784">
        <w:rPr>
          <w:rFonts w:ascii="Times New Roman" w:hAnsi="Times New Roman" w:cs="Times New Roman"/>
          <w:sz w:val="24"/>
          <w:szCs w:val="24"/>
        </w:rPr>
        <w:t xml:space="preserve"> a local but palpable manifestation of what Jerome</w:t>
      </w:r>
      <w:r>
        <w:rPr>
          <w:rFonts w:ascii="Times New Roman" w:hAnsi="Times New Roman" w:cs="Times New Roman"/>
          <w:sz w:val="24"/>
          <w:szCs w:val="24"/>
        </w:rPr>
        <w:t xml:space="preserve"> J.</w:t>
      </w:r>
      <w:r w:rsidRPr="00351784">
        <w:rPr>
          <w:rFonts w:ascii="Times New Roman" w:hAnsi="Times New Roman" w:cs="Times New Roman"/>
          <w:sz w:val="24"/>
          <w:szCs w:val="24"/>
        </w:rPr>
        <w:t xml:space="preserve"> McGann identifies as Byron’s </w:t>
      </w:r>
      <w:r>
        <w:rPr>
          <w:rFonts w:ascii="Times New Roman" w:hAnsi="Times New Roman" w:cs="Times New Roman"/>
          <w:sz w:val="24"/>
          <w:szCs w:val="24"/>
        </w:rPr>
        <w:t xml:space="preserve">consistent displeasure with the </w:t>
      </w:r>
      <w:r w:rsidRPr="00351784">
        <w:rPr>
          <w:rFonts w:ascii="Times New Roman" w:hAnsi="Times New Roman" w:cs="Times New Roman"/>
          <w:sz w:val="24"/>
          <w:szCs w:val="24"/>
        </w:rPr>
        <w:t xml:space="preserve">cant and </w:t>
      </w:r>
      <w:r>
        <w:rPr>
          <w:rFonts w:ascii="Times New Roman" w:hAnsi="Times New Roman" w:cs="Times New Roman"/>
          <w:sz w:val="24"/>
          <w:szCs w:val="24"/>
        </w:rPr>
        <w:t>duplicity</w:t>
      </w:r>
      <w:r w:rsidRPr="00351784">
        <w:rPr>
          <w:rFonts w:ascii="Times New Roman" w:hAnsi="Times New Roman" w:cs="Times New Roman"/>
          <w:sz w:val="24"/>
          <w:szCs w:val="24"/>
        </w:rPr>
        <w:t xml:space="preserve"> that he felt characterized British politics</w:t>
      </w:r>
      <w:r>
        <w:rPr>
          <w:rFonts w:ascii="Times New Roman" w:hAnsi="Times New Roman" w:cs="Times New Roman"/>
          <w:sz w:val="24"/>
          <w:szCs w:val="24"/>
        </w:rPr>
        <w:t>, both</w:t>
      </w:r>
      <w:r w:rsidRPr="00351784">
        <w:rPr>
          <w:rFonts w:ascii="Times New Roman" w:hAnsi="Times New Roman" w:cs="Times New Roman"/>
          <w:sz w:val="24"/>
          <w:szCs w:val="24"/>
        </w:rPr>
        <w:t xml:space="preserve"> at home and abroad</w:t>
      </w:r>
      <w:r>
        <w:rPr>
          <w:rFonts w:ascii="Times New Roman" w:hAnsi="Times New Roman" w:cs="Times New Roman"/>
          <w:sz w:val="24"/>
          <w:szCs w:val="24"/>
        </w:rPr>
        <w:t>,</w:t>
      </w:r>
      <w:r w:rsidRPr="00351784">
        <w:rPr>
          <w:rFonts w:ascii="Times New Roman" w:hAnsi="Times New Roman" w:cs="Times New Roman"/>
          <w:sz w:val="24"/>
          <w:szCs w:val="24"/>
        </w:rPr>
        <w:t xml:space="preserve"> during the Napoleonic Wars.</w:t>
      </w:r>
      <w:r w:rsidRPr="00351784">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Moreover, by making explicit the link between these two apparently discrete British practices – a Sunday morning’s religious observations, so common as to need little description, followed by </w:t>
      </w:r>
      <w:r w:rsidR="00306B5A">
        <w:rPr>
          <w:rFonts w:ascii="Times New Roman" w:hAnsi="Times New Roman" w:cs="Times New Roman"/>
          <w:sz w:val="24"/>
          <w:szCs w:val="24"/>
        </w:rPr>
        <w:t xml:space="preserve">a </w:t>
      </w:r>
      <w:r>
        <w:rPr>
          <w:rFonts w:ascii="Times New Roman" w:hAnsi="Times New Roman" w:cs="Times New Roman"/>
          <w:sz w:val="24"/>
          <w:szCs w:val="24"/>
        </w:rPr>
        <w:t xml:space="preserve">Sunday afternoon’s frenzied rush to drink and dissolution – Byron foregrounds the latter’s dual function, which may not even be apparent to the practitioners themselves: their hasty retreat to Highgate presumably serves to wash away not only the unpleasant memories of the morning’s church </w:t>
      </w:r>
      <w:r>
        <w:rPr>
          <w:rFonts w:ascii="Times New Roman" w:hAnsi="Times New Roman" w:cs="Times New Roman"/>
          <w:sz w:val="24"/>
          <w:szCs w:val="24"/>
        </w:rPr>
        <w:lastRenderedPageBreak/>
        <w:t>service, but also the guilt that likely accompanies merely perfunctory attendances at those services. As we learn at</w:t>
      </w:r>
      <w:r w:rsidR="00E32C59">
        <w:rPr>
          <w:rFonts w:ascii="Times New Roman" w:hAnsi="Times New Roman" w:cs="Times New Roman"/>
          <w:sz w:val="24"/>
          <w:szCs w:val="24"/>
        </w:rPr>
        <w:t xml:space="preserve"> the start of stanza 71, moreover</w:t>
      </w:r>
      <w:r>
        <w:rPr>
          <w:rFonts w:ascii="Times New Roman" w:hAnsi="Times New Roman" w:cs="Times New Roman"/>
          <w:sz w:val="24"/>
          <w:szCs w:val="24"/>
        </w:rPr>
        <w:t>, t</w:t>
      </w:r>
      <w:r w:rsidRPr="00351784">
        <w:rPr>
          <w:rFonts w:ascii="Times New Roman" w:hAnsi="Times New Roman" w:cs="Times New Roman"/>
          <w:sz w:val="24"/>
          <w:szCs w:val="24"/>
        </w:rPr>
        <w:t xml:space="preserve">he habit of going </w:t>
      </w:r>
      <w:r>
        <w:rPr>
          <w:rFonts w:ascii="Times New Roman" w:hAnsi="Times New Roman" w:cs="Times New Roman"/>
          <w:sz w:val="24"/>
          <w:szCs w:val="24"/>
        </w:rPr>
        <w:t xml:space="preserve">more-or-less </w:t>
      </w:r>
      <w:r w:rsidRPr="00351784">
        <w:rPr>
          <w:rFonts w:ascii="Times New Roman" w:hAnsi="Times New Roman" w:cs="Times New Roman"/>
          <w:sz w:val="24"/>
          <w:szCs w:val="24"/>
        </w:rPr>
        <w:t>directly from Sunday morning prayer</w:t>
      </w:r>
      <w:r>
        <w:rPr>
          <w:rFonts w:ascii="Times New Roman" w:hAnsi="Times New Roman" w:cs="Times New Roman"/>
          <w:sz w:val="24"/>
          <w:szCs w:val="24"/>
        </w:rPr>
        <w:t>s</w:t>
      </w:r>
      <w:r w:rsidRPr="00351784">
        <w:rPr>
          <w:rFonts w:ascii="Times New Roman" w:hAnsi="Times New Roman" w:cs="Times New Roman"/>
          <w:sz w:val="24"/>
          <w:szCs w:val="24"/>
        </w:rPr>
        <w:t xml:space="preserve"> to Sund</w:t>
      </w:r>
      <w:r>
        <w:rPr>
          <w:rFonts w:ascii="Times New Roman" w:hAnsi="Times New Roman" w:cs="Times New Roman"/>
          <w:sz w:val="24"/>
          <w:szCs w:val="24"/>
        </w:rPr>
        <w:t>ay afternoon partying is not restricted to Britons:</w:t>
      </w:r>
      <w:r w:rsidRPr="00351784">
        <w:rPr>
          <w:rFonts w:ascii="Times New Roman" w:hAnsi="Times New Roman" w:cs="Times New Roman"/>
          <w:sz w:val="24"/>
          <w:szCs w:val="24"/>
        </w:rPr>
        <w:t xml:space="preserve"> “</w:t>
      </w:r>
      <w:r w:rsidRPr="00D2626E">
        <w:rPr>
          <w:rFonts w:ascii="Times New Roman" w:hAnsi="Times New Roman" w:cs="Times New Roman"/>
          <w:i/>
          <w:sz w:val="24"/>
          <w:szCs w:val="24"/>
        </w:rPr>
        <w:t>All</w:t>
      </w:r>
      <w:r w:rsidRPr="00351784">
        <w:rPr>
          <w:rFonts w:ascii="Times New Roman" w:hAnsi="Times New Roman" w:cs="Times New Roman"/>
          <w:sz w:val="24"/>
          <w:szCs w:val="24"/>
        </w:rPr>
        <w:t xml:space="preserve"> have their fooleries” (1. 71.711</w:t>
      </w:r>
      <w:r>
        <w:rPr>
          <w:rFonts w:ascii="Times New Roman" w:hAnsi="Times New Roman" w:cs="Times New Roman"/>
          <w:sz w:val="24"/>
          <w:szCs w:val="24"/>
        </w:rPr>
        <w:t xml:space="preserve">; emphasis added). </w:t>
      </w:r>
    </w:p>
    <w:p w:rsidR="00424631" w:rsidRPr="00E32C59" w:rsidRDefault="00424631" w:rsidP="00E32C59">
      <w:pPr>
        <w:spacing w:line="480" w:lineRule="auto"/>
        <w:ind w:firstLine="720"/>
        <w:rPr>
          <w:rFonts w:ascii="Times New Roman" w:hAnsi="Times New Roman" w:cs="Times New Roman"/>
          <w:sz w:val="24"/>
          <w:szCs w:val="24"/>
        </w:rPr>
      </w:pPr>
      <w:r w:rsidRPr="00351784">
        <w:rPr>
          <w:rFonts w:ascii="Times New Roman" w:hAnsi="Times New Roman" w:cs="Times New Roman"/>
          <w:sz w:val="24"/>
          <w:szCs w:val="24"/>
        </w:rPr>
        <w:t>But the Sabbath rituals of western Spain turn out to be rather more difficult</w:t>
      </w:r>
      <w:r>
        <w:rPr>
          <w:rFonts w:ascii="Times New Roman" w:hAnsi="Times New Roman" w:cs="Times New Roman"/>
          <w:sz w:val="24"/>
          <w:szCs w:val="24"/>
        </w:rPr>
        <w:t xml:space="preserve"> for Harold to make sense of</w:t>
      </w:r>
      <w:r w:rsidRPr="00351784">
        <w:rPr>
          <w:rFonts w:ascii="Times New Roman" w:hAnsi="Times New Roman" w:cs="Times New Roman"/>
          <w:sz w:val="24"/>
          <w:szCs w:val="24"/>
        </w:rPr>
        <w:t xml:space="preserve"> than those o</w:t>
      </w:r>
      <w:r>
        <w:rPr>
          <w:rFonts w:ascii="Times New Roman" w:hAnsi="Times New Roman" w:cs="Times New Roman"/>
          <w:sz w:val="24"/>
          <w:szCs w:val="24"/>
        </w:rPr>
        <w:t>f his native land. Of course, even at the start of Canto One when he is still in Britain, Harold does not really feel at home: “Apart he stalk’d in joyless reverie” (1.6.50). Dissolute to the point of ennui, Childe Harold has long been recognized as the prototype of Byron’s gloomy, charismatic, peripatetic protagonists. His perenni</w:t>
      </w:r>
      <w:r w:rsidR="00306B5A">
        <w:rPr>
          <w:rFonts w:ascii="Times New Roman" w:hAnsi="Times New Roman" w:cs="Times New Roman"/>
          <w:sz w:val="24"/>
          <w:szCs w:val="24"/>
        </w:rPr>
        <w:t>ally estranged attitude, moreover</w:t>
      </w:r>
      <w:r>
        <w:rPr>
          <w:rFonts w:ascii="Times New Roman" w:hAnsi="Times New Roman" w:cs="Times New Roman"/>
          <w:sz w:val="24"/>
          <w:szCs w:val="24"/>
        </w:rPr>
        <w:t xml:space="preserve">, allows him to function as an observer of the arrangements and practices of early nineteenth-century Europe. Spending most of Byron’s poem as the proverbial stranger in a series of strange lands, Harold – whether by design or by accident matters little – is perfectly positioned to perform what </w:t>
      </w:r>
      <w:r w:rsidR="00FE7786">
        <w:rPr>
          <w:rFonts w:ascii="Times New Roman" w:hAnsi="Times New Roman" w:cs="Times New Roman"/>
          <w:sz w:val="24"/>
          <w:szCs w:val="24"/>
        </w:rPr>
        <w:t>Brun</w:t>
      </w:r>
      <w:r w:rsidR="0056719D">
        <w:rPr>
          <w:rFonts w:ascii="Times New Roman" w:hAnsi="Times New Roman" w:cs="Times New Roman"/>
          <w:sz w:val="24"/>
          <w:szCs w:val="24"/>
        </w:rPr>
        <w:t>o</w:t>
      </w:r>
      <w:r w:rsidR="00FE7786">
        <w:rPr>
          <w:rFonts w:ascii="Times New Roman" w:hAnsi="Times New Roman" w:cs="Times New Roman"/>
          <w:sz w:val="24"/>
          <w:szCs w:val="24"/>
        </w:rPr>
        <w:t xml:space="preserve"> </w:t>
      </w:r>
      <w:r>
        <w:rPr>
          <w:rFonts w:ascii="Times New Roman" w:hAnsi="Times New Roman" w:cs="Times New Roman"/>
          <w:sz w:val="24"/>
          <w:szCs w:val="24"/>
        </w:rPr>
        <w:t>Latour has recently called “an anthropology of the moderns.”</w:t>
      </w:r>
      <w:r>
        <w:rPr>
          <w:rStyle w:val="EndnoteReference"/>
          <w:rFonts w:ascii="Times New Roman" w:hAnsi="Times New Roman" w:cs="Times New Roman"/>
          <w:sz w:val="24"/>
          <w:szCs w:val="24"/>
        </w:rPr>
        <w:endnoteReference w:id="10"/>
      </w:r>
    </w:p>
    <w:p w:rsidR="00424631" w:rsidRPr="00351784" w:rsidRDefault="00424631" w:rsidP="00E32C59">
      <w:pPr>
        <w:spacing w:line="480" w:lineRule="auto"/>
        <w:ind w:firstLine="720"/>
        <w:rPr>
          <w:rFonts w:ascii="Times New Roman" w:hAnsi="Times New Roman" w:cs="Times New Roman"/>
          <w:sz w:val="24"/>
          <w:szCs w:val="24"/>
        </w:rPr>
      </w:pPr>
      <w:r w:rsidRPr="00351784">
        <w:rPr>
          <w:rFonts w:ascii="Times New Roman" w:hAnsi="Times New Roman" w:cs="Times New Roman"/>
          <w:sz w:val="24"/>
          <w:szCs w:val="24"/>
        </w:rPr>
        <w:t xml:space="preserve">A philosopher by schooling, an anthropologist by training, and a sociologist by profession, Latour rose to prominence </w:t>
      </w:r>
      <w:r>
        <w:rPr>
          <w:rFonts w:ascii="Times New Roman" w:hAnsi="Times New Roman" w:cs="Times New Roman"/>
          <w:sz w:val="24"/>
          <w:szCs w:val="24"/>
        </w:rPr>
        <w:t>with</w:t>
      </w:r>
      <w:r w:rsidRPr="00351784">
        <w:rPr>
          <w:rFonts w:ascii="Times New Roman" w:hAnsi="Times New Roman" w:cs="Times New Roman"/>
          <w:sz w:val="24"/>
          <w:szCs w:val="24"/>
        </w:rPr>
        <w:t xml:space="preserve"> a series of studies on the methods of knowledge produ</w:t>
      </w:r>
      <w:r w:rsidR="00F078E0">
        <w:rPr>
          <w:rFonts w:ascii="Times New Roman" w:hAnsi="Times New Roman" w:cs="Times New Roman"/>
          <w:sz w:val="24"/>
          <w:szCs w:val="24"/>
        </w:rPr>
        <w:t>ction in various laboratory</w:t>
      </w:r>
      <w:r w:rsidRPr="00351784">
        <w:rPr>
          <w:rFonts w:ascii="Times New Roman" w:hAnsi="Times New Roman" w:cs="Times New Roman"/>
          <w:sz w:val="24"/>
          <w:szCs w:val="24"/>
        </w:rPr>
        <w:t xml:space="preserve"> </w:t>
      </w:r>
      <w:r w:rsidR="00F078E0">
        <w:rPr>
          <w:rFonts w:ascii="Times New Roman" w:hAnsi="Times New Roman" w:cs="Times New Roman"/>
          <w:sz w:val="24"/>
          <w:szCs w:val="24"/>
        </w:rPr>
        <w:t xml:space="preserve">settings and scientific </w:t>
      </w:r>
      <w:r w:rsidRPr="00351784">
        <w:rPr>
          <w:rFonts w:ascii="Times New Roman" w:hAnsi="Times New Roman" w:cs="Times New Roman"/>
          <w:sz w:val="24"/>
          <w:szCs w:val="24"/>
        </w:rPr>
        <w:t xml:space="preserve">communities. But as </w:t>
      </w:r>
      <w:r w:rsidR="00A2178C">
        <w:rPr>
          <w:rFonts w:ascii="Times New Roman" w:hAnsi="Times New Roman" w:cs="Times New Roman"/>
          <w:sz w:val="24"/>
          <w:szCs w:val="24"/>
        </w:rPr>
        <w:t xml:space="preserve">he </w:t>
      </w:r>
      <w:r>
        <w:rPr>
          <w:rFonts w:ascii="Times New Roman" w:hAnsi="Times New Roman" w:cs="Times New Roman"/>
          <w:sz w:val="24"/>
          <w:szCs w:val="24"/>
        </w:rPr>
        <w:t>frequently a</w:t>
      </w:r>
      <w:r w:rsidRPr="00351784">
        <w:rPr>
          <w:rFonts w:ascii="Times New Roman" w:hAnsi="Times New Roman" w:cs="Times New Roman"/>
          <w:sz w:val="24"/>
          <w:szCs w:val="24"/>
        </w:rPr>
        <w:t>ssert</w:t>
      </w:r>
      <w:r>
        <w:rPr>
          <w:rFonts w:ascii="Times New Roman" w:hAnsi="Times New Roman" w:cs="Times New Roman"/>
          <w:sz w:val="24"/>
          <w:szCs w:val="24"/>
        </w:rPr>
        <w:t>s, he is best understood</w:t>
      </w:r>
      <w:r w:rsidRPr="00351784">
        <w:rPr>
          <w:rFonts w:ascii="Times New Roman" w:hAnsi="Times New Roman" w:cs="Times New Roman"/>
          <w:sz w:val="24"/>
          <w:szCs w:val="24"/>
        </w:rPr>
        <w:t xml:space="preserve"> neither as a po</w:t>
      </w:r>
      <w:r>
        <w:rPr>
          <w:rFonts w:ascii="Times New Roman" w:hAnsi="Times New Roman" w:cs="Times New Roman"/>
          <w:sz w:val="24"/>
          <w:szCs w:val="24"/>
        </w:rPr>
        <w:t xml:space="preserve">stmodernist </w:t>
      </w:r>
      <w:r w:rsidRPr="00351784">
        <w:rPr>
          <w:rFonts w:ascii="Times New Roman" w:hAnsi="Times New Roman" w:cs="Times New Roman"/>
          <w:sz w:val="24"/>
          <w:szCs w:val="24"/>
        </w:rPr>
        <w:t>nor as a social constructionist, but rather as a diagnostic</w:t>
      </w:r>
      <w:r>
        <w:rPr>
          <w:rFonts w:ascii="Times New Roman" w:hAnsi="Times New Roman" w:cs="Times New Roman"/>
          <w:sz w:val="24"/>
          <w:szCs w:val="24"/>
        </w:rPr>
        <w:t>ian of modernity’s central contradictions.</w:t>
      </w:r>
      <w:r w:rsidRPr="00351784">
        <w:rPr>
          <w:rFonts w:ascii="Times New Roman" w:hAnsi="Times New Roman" w:cs="Times New Roman"/>
          <w:sz w:val="24"/>
          <w:szCs w:val="24"/>
        </w:rPr>
        <w:t xml:space="preserve"> </w:t>
      </w:r>
      <w:r>
        <w:rPr>
          <w:rFonts w:ascii="Times New Roman" w:hAnsi="Times New Roman" w:cs="Times New Roman"/>
          <w:sz w:val="24"/>
          <w:szCs w:val="24"/>
        </w:rPr>
        <w:t>In his best-known text</w:t>
      </w:r>
      <w:r w:rsidRPr="00351784">
        <w:rPr>
          <w:rFonts w:ascii="Times New Roman" w:hAnsi="Times New Roman" w:cs="Times New Roman"/>
          <w:sz w:val="24"/>
          <w:szCs w:val="24"/>
        </w:rPr>
        <w:t xml:space="preserve">, </w:t>
      </w:r>
      <w:r w:rsidRPr="00351784">
        <w:rPr>
          <w:rFonts w:ascii="Times New Roman" w:hAnsi="Times New Roman" w:cs="Times New Roman"/>
          <w:i/>
          <w:sz w:val="24"/>
          <w:szCs w:val="24"/>
        </w:rPr>
        <w:t>We Have Never Been Modern</w:t>
      </w:r>
      <w:r w:rsidRPr="00351784">
        <w:rPr>
          <w:rFonts w:ascii="Times New Roman" w:hAnsi="Times New Roman" w:cs="Times New Roman"/>
          <w:sz w:val="24"/>
          <w:szCs w:val="24"/>
        </w:rPr>
        <w:t>, Latour lays out the conceptual framework</w:t>
      </w:r>
      <w:r>
        <w:rPr>
          <w:rFonts w:ascii="Times New Roman" w:hAnsi="Times New Roman" w:cs="Times New Roman"/>
          <w:sz w:val="24"/>
          <w:szCs w:val="24"/>
        </w:rPr>
        <w:t xml:space="preserve"> distilled from his earlier </w:t>
      </w:r>
      <w:r w:rsidRPr="00351784">
        <w:rPr>
          <w:rFonts w:ascii="Times New Roman" w:hAnsi="Times New Roman" w:cs="Times New Roman"/>
          <w:sz w:val="24"/>
          <w:szCs w:val="24"/>
        </w:rPr>
        <w:t xml:space="preserve">texts.  Modern western society is characterized by two </w:t>
      </w:r>
      <w:r>
        <w:rPr>
          <w:rFonts w:ascii="Times New Roman" w:hAnsi="Times New Roman" w:cs="Times New Roman"/>
          <w:sz w:val="24"/>
          <w:szCs w:val="24"/>
        </w:rPr>
        <w:t>related but</w:t>
      </w:r>
      <w:r w:rsidRPr="00351784">
        <w:rPr>
          <w:rFonts w:ascii="Times New Roman" w:hAnsi="Times New Roman" w:cs="Times New Roman"/>
          <w:sz w:val="24"/>
          <w:szCs w:val="24"/>
        </w:rPr>
        <w:t xml:space="preserve"> antithetical drives: the drive to create hybrids of natural and cultural phenomena, which Latour calls “translation,” and the drive to (</w:t>
      </w:r>
      <w:r>
        <w:rPr>
          <w:rFonts w:ascii="Times New Roman" w:hAnsi="Times New Roman" w:cs="Times New Roman"/>
          <w:sz w:val="24"/>
          <w:szCs w:val="24"/>
        </w:rPr>
        <w:t>attempt to) separate nature</w:t>
      </w:r>
      <w:r w:rsidRPr="00351784">
        <w:rPr>
          <w:rFonts w:ascii="Times New Roman" w:hAnsi="Times New Roman" w:cs="Times New Roman"/>
          <w:sz w:val="24"/>
          <w:szCs w:val="24"/>
        </w:rPr>
        <w:t xml:space="preserve"> </w:t>
      </w:r>
      <w:r>
        <w:rPr>
          <w:rFonts w:ascii="Times New Roman" w:hAnsi="Times New Roman" w:cs="Times New Roman"/>
          <w:sz w:val="24"/>
          <w:szCs w:val="24"/>
        </w:rPr>
        <w:t>and culture</w:t>
      </w:r>
      <w:r w:rsidRPr="00351784">
        <w:rPr>
          <w:rFonts w:ascii="Times New Roman" w:hAnsi="Times New Roman" w:cs="Times New Roman"/>
          <w:sz w:val="24"/>
          <w:szCs w:val="24"/>
        </w:rPr>
        <w:t xml:space="preserve">, which he calls </w:t>
      </w:r>
      <w:r>
        <w:rPr>
          <w:rFonts w:ascii="Times New Roman" w:hAnsi="Times New Roman" w:cs="Times New Roman"/>
          <w:sz w:val="24"/>
          <w:szCs w:val="24"/>
        </w:rPr>
        <w:t>“</w:t>
      </w:r>
      <w:r w:rsidRPr="00351784">
        <w:rPr>
          <w:rFonts w:ascii="Times New Roman" w:hAnsi="Times New Roman" w:cs="Times New Roman"/>
          <w:sz w:val="24"/>
          <w:szCs w:val="24"/>
        </w:rPr>
        <w:t>purification.</w:t>
      </w:r>
      <w:r>
        <w:rPr>
          <w:rFonts w:ascii="Times New Roman" w:hAnsi="Times New Roman" w:cs="Times New Roman"/>
          <w:sz w:val="24"/>
          <w:szCs w:val="24"/>
        </w:rPr>
        <w:t>”</w:t>
      </w:r>
      <w:r w:rsidRPr="00351784">
        <w:rPr>
          <w:rFonts w:ascii="Times New Roman" w:hAnsi="Times New Roman" w:cs="Times New Roman"/>
          <w:sz w:val="24"/>
          <w:szCs w:val="24"/>
        </w:rPr>
        <w:t xml:space="preserve"> Ironically, although </w:t>
      </w:r>
      <w:r>
        <w:rPr>
          <w:rFonts w:ascii="Times New Roman" w:hAnsi="Times New Roman" w:cs="Times New Roman"/>
          <w:sz w:val="24"/>
          <w:szCs w:val="24"/>
        </w:rPr>
        <w:t xml:space="preserve">we have been </w:t>
      </w:r>
      <w:r>
        <w:rPr>
          <w:rFonts w:ascii="Times New Roman" w:hAnsi="Times New Roman" w:cs="Times New Roman"/>
          <w:sz w:val="24"/>
          <w:szCs w:val="24"/>
        </w:rPr>
        <w:lastRenderedPageBreak/>
        <w:t>obsessed with</w:t>
      </w:r>
      <w:r w:rsidRPr="00351784">
        <w:rPr>
          <w:rFonts w:ascii="Times New Roman" w:hAnsi="Times New Roman" w:cs="Times New Roman"/>
          <w:sz w:val="24"/>
          <w:szCs w:val="24"/>
        </w:rPr>
        <w:t xml:space="preserve"> the latter</w:t>
      </w:r>
      <w:r>
        <w:rPr>
          <w:rFonts w:ascii="Times New Roman" w:hAnsi="Times New Roman" w:cs="Times New Roman"/>
          <w:sz w:val="24"/>
          <w:szCs w:val="24"/>
        </w:rPr>
        <w:t>,</w:t>
      </w:r>
      <w:r w:rsidRPr="00351784">
        <w:rPr>
          <w:rFonts w:ascii="Times New Roman" w:hAnsi="Times New Roman" w:cs="Times New Roman"/>
          <w:sz w:val="24"/>
          <w:szCs w:val="24"/>
        </w:rPr>
        <w:t xml:space="preserve"> we have been constitutively unwilling to recog</w:t>
      </w:r>
      <w:r>
        <w:rPr>
          <w:rFonts w:ascii="Times New Roman" w:hAnsi="Times New Roman" w:cs="Times New Roman"/>
          <w:sz w:val="24"/>
          <w:szCs w:val="24"/>
        </w:rPr>
        <w:t xml:space="preserve">nize the extent to which </w:t>
      </w:r>
      <w:r w:rsidRPr="00351784">
        <w:rPr>
          <w:rFonts w:ascii="Times New Roman" w:hAnsi="Times New Roman" w:cs="Times New Roman"/>
          <w:sz w:val="24"/>
          <w:szCs w:val="24"/>
        </w:rPr>
        <w:t xml:space="preserve">our </w:t>
      </w:r>
      <w:r>
        <w:rPr>
          <w:rFonts w:ascii="Times New Roman" w:hAnsi="Times New Roman" w:cs="Times New Roman"/>
          <w:sz w:val="24"/>
          <w:szCs w:val="24"/>
        </w:rPr>
        <w:t>k</w:t>
      </w:r>
      <w:r w:rsidRPr="00351784">
        <w:rPr>
          <w:rFonts w:ascii="Times New Roman" w:hAnsi="Times New Roman" w:cs="Times New Roman"/>
          <w:sz w:val="24"/>
          <w:szCs w:val="24"/>
        </w:rPr>
        <w:t>nowle</w:t>
      </w:r>
      <w:r>
        <w:rPr>
          <w:rFonts w:ascii="Times New Roman" w:hAnsi="Times New Roman" w:cs="Times New Roman"/>
          <w:sz w:val="24"/>
          <w:szCs w:val="24"/>
        </w:rPr>
        <w:t>dge production consistently depends on the for</w:t>
      </w:r>
      <w:r w:rsidRPr="00351784">
        <w:rPr>
          <w:rFonts w:ascii="Times New Roman" w:hAnsi="Times New Roman" w:cs="Times New Roman"/>
          <w:sz w:val="24"/>
          <w:szCs w:val="24"/>
        </w:rPr>
        <w:t xml:space="preserve">mer. Latour’s goal in </w:t>
      </w:r>
      <w:r w:rsidRPr="00351784">
        <w:rPr>
          <w:rFonts w:ascii="Times New Roman" w:hAnsi="Times New Roman" w:cs="Times New Roman"/>
          <w:i/>
          <w:sz w:val="24"/>
          <w:szCs w:val="24"/>
        </w:rPr>
        <w:t>We Have Never Been Modern</w:t>
      </w:r>
      <w:r w:rsidRPr="00351784">
        <w:rPr>
          <w:rFonts w:ascii="Times New Roman" w:hAnsi="Times New Roman" w:cs="Times New Roman"/>
          <w:sz w:val="24"/>
          <w:szCs w:val="24"/>
        </w:rPr>
        <w:t xml:space="preserve"> is thus </w:t>
      </w:r>
      <w:r>
        <w:rPr>
          <w:rFonts w:ascii="Times New Roman" w:hAnsi="Times New Roman" w:cs="Times New Roman"/>
          <w:sz w:val="24"/>
          <w:szCs w:val="24"/>
        </w:rPr>
        <w:t>not to reconcile translation with</w:t>
      </w:r>
      <w:r w:rsidRPr="00351784">
        <w:rPr>
          <w:rFonts w:ascii="Times New Roman" w:hAnsi="Times New Roman" w:cs="Times New Roman"/>
          <w:sz w:val="24"/>
          <w:szCs w:val="24"/>
        </w:rPr>
        <w:t xml:space="preserve"> purification, but </w:t>
      </w:r>
      <w:r>
        <w:rPr>
          <w:rFonts w:ascii="Times New Roman" w:hAnsi="Times New Roman" w:cs="Times New Roman"/>
          <w:sz w:val="24"/>
          <w:szCs w:val="24"/>
        </w:rPr>
        <w:t>to make explicit their inevitable</w:t>
      </w:r>
      <w:r w:rsidRPr="00351784">
        <w:rPr>
          <w:rFonts w:ascii="Times New Roman" w:hAnsi="Times New Roman" w:cs="Times New Roman"/>
          <w:sz w:val="24"/>
          <w:szCs w:val="24"/>
        </w:rPr>
        <w:t xml:space="preserve"> imbrication:</w:t>
      </w:r>
    </w:p>
    <w:p w:rsidR="00424631" w:rsidRPr="00351784" w:rsidRDefault="00424631" w:rsidP="00424631">
      <w:pPr>
        <w:spacing w:line="480" w:lineRule="auto"/>
        <w:ind w:left="720"/>
        <w:rPr>
          <w:rFonts w:ascii="Times New Roman" w:hAnsi="Times New Roman" w:cs="Times New Roman"/>
          <w:sz w:val="24"/>
          <w:szCs w:val="24"/>
        </w:rPr>
      </w:pPr>
      <w:r w:rsidRPr="00351784">
        <w:rPr>
          <w:rFonts w:ascii="Times New Roman" w:hAnsi="Times New Roman" w:cs="Times New Roman"/>
          <w:sz w:val="24"/>
          <w:szCs w:val="24"/>
        </w:rPr>
        <w:t xml:space="preserve">So long as we consider these two practices of translation and purification separately, we are truly modern – that is, we willingly subscribe to the critical project, even though that project is developed only through the proliferation of hybrids down below. As soon as we direct our attention simultaneously to the work of purification and the work of hybridization, we immediately stop being wholly modern, and our future begins to change. At the same time we stop </w:t>
      </w:r>
      <w:r w:rsidRPr="00582A22">
        <w:rPr>
          <w:rFonts w:ascii="Times New Roman" w:hAnsi="Times New Roman" w:cs="Times New Roman"/>
          <w:i/>
          <w:sz w:val="24"/>
          <w:szCs w:val="24"/>
        </w:rPr>
        <w:t>having been</w:t>
      </w:r>
      <w:r w:rsidRPr="00351784">
        <w:rPr>
          <w:rFonts w:ascii="Times New Roman" w:hAnsi="Times New Roman" w:cs="Times New Roman"/>
          <w:sz w:val="24"/>
          <w:szCs w:val="24"/>
        </w:rPr>
        <w:t xml:space="preserve"> modern</w:t>
      </w:r>
      <w:r>
        <w:rPr>
          <w:rFonts w:ascii="Times New Roman" w:hAnsi="Times New Roman" w:cs="Times New Roman"/>
          <w:sz w:val="24"/>
          <w:szCs w:val="24"/>
        </w:rPr>
        <w:t xml:space="preserve"> [my italics]</w:t>
      </w:r>
      <w:r w:rsidRPr="00351784">
        <w:rPr>
          <w:rFonts w:ascii="Times New Roman" w:hAnsi="Times New Roman" w:cs="Times New Roman"/>
          <w:sz w:val="24"/>
          <w:szCs w:val="24"/>
        </w:rPr>
        <w:t>, because we become retrospectively aware that the two sets of practices have always already been at work in the historical period that is ending.</w:t>
      </w:r>
      <w:r w:rsidRPr="00351784">
        <w:rPr>
          <w:rStyle w:val="EndnoteReference"/>
          <w:rFonts w:ascii="Times New Roman" w:hAnsi="Times New Roman" w:cs="Times New Roman"/>
          <w:sz w:val="24"/>
          <w:szCs w:val="24"/>
        </w:rPr>
        <w:endnoteReference w:id="11"/>
      </w:r>
    </w:p>
    <w:p w:rsidR="00424631" w:rsidRPr="00BD3609" w:rsidRDefault="00424631" w:rsidP="00424631">
      <w:pPr>
        <w:spacing w:line="480" w:lineRule="auto"/>
        <w:rPr>
          <w:rFonts w:ascii="Times New Roman" w:hAnsi="Times New Roman" w:cs="Times New Roman"/>
          <w:sz w:val="24"/>
          <w:szCs w:val="24"/>
        </w:rPr>
      </w:pPr>
      <w:r w:rsidRPr="00351784">
        <w:rPr>
          <w:rFonts w:ascii="Times New Roman" w:hAnsi="Times New Roman" w:cs="Times New Roman"/>
          <w:sz w:val="24"/>
          <w:szCs w:val="24"/>
        </w:rPr>
        <w:t>If we have never been m</w:t>
      </w:r>
      <w:r>
        <w:rPr>
          <w:rFonts w:ascii="Times New Roman" w:hAnsi="Times New Roman" w:cs="Times New Roman"/>
          <w:sz w:val="24"/>
          <w:szCs w:val="24"/>
        </w:rPr>
        <w:t>odern, in other words, it hasn’t been for lack of trying -- b</w:t>
      </w:r>
      <w:r w:rsidRPr="00351784">
        <w:rPr>
          <w:rFonts w:ascii="Times New Roman" w:hAnsi="Times New Roman" w:cs="Times New Roman"/>
          <w:sz w:val="24"/>
          <w:szCs w:val="24"/>
        </w:rPr>
        <w:t xml:space="preserve">ut the results of our efforts have been, for the most part, </w:t>
      </w:r>
      <w:r>
        <w:rPr>
          <w:rFonts w:ascii="Times New Roman" w:hAnsi="Times New Roman" w:cs="Times New Roman"/>
          <w:sz w:val="24"/>
          <w:szCs w:val="24"/>
        </w:rPr>
        <w:t xml:space="preserve">to make matters worse rather than better, muddier rather than more clear. Accordingly, as Latour puts it near the end of </w:t>
      </w:r>
      <w:r>
        <w:rPr>
          <w:rFonts w:ascii="Times New Roman" w:hAnsi="Times New Roman" w:cs="Times New Roman"/>
          <w:i/>
          <w:sz w:val="24"/>
          <w:szCs w:val="24"/>
        </w:rPr>
        <w:t>We Have Never Been Modern</w:t>
      </w:r>
      <w:r>
        <w:rPr>
          <w:rFonts w:ascii="Times New Roman" w:hAnsi="Times New Roman" w:cs="Times New Roman"/>
          <w:sz w:val="24"/>
          <w:szCs w:val="24"/>
        </w:rPr>
        <w:t>, recognizing that “Nature and Society are not two distinct poles, but one and the same production of successive states of societies-natures, of collectives” is the only viable way forward out of the mess we have inherited from modernity (and without becoming stuck in the dead-end of a cynical, endlessly self-reflexive postmodernism that, for Latour, is “a symptom, not a solution”).</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In this vision, the role of humanity is best understood as a kind of “morphism”: the endless, but also endlessly creative “work of mediation.”</w:t>
      </w:r>
      <w:r>
        <w:rPr>
          <w:rStyle w:val="EndnoteReference"/>
          <w:rFonts w:ascii="Times New Roman" w:hAnsi="Times New Roman" w:cs="Times New Roman"/>
          <w:sz w:val="24"/>
          <w:szCs w:val="24"/>
        </w:rPr>
        <w:endnoteReference w:id="13"/>
      </w:r>
    </w:p>
    <w:p w:rsidR="00424631" w:rsidRDefault="00424631" w:rsidP="0042463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See</w:t>
      </w:r>
      <w:r w:rsidR="00FE7786">
        <w:rPr>
          <w:rFonts w:ascii="Times New Roman" w:hAnsi="Times New Roman" w:cs="Times New Roman"/>
          <w:sz w:val="24"/>
          <w:szCs w:val="24"/>
        </w:rPr>
        <w:t>n in this light, C</w:t>
      </w:r>
      <w:r>
        <w:rPr>
          <w:rFonts w:ascii="Times New Roman" w:hAnsi="Times New Roman" w:cs="Times New Roman"/>
          <w:sz w:val="24"/>
          <w:szCs w:val="24"/>
        </w:rPr>
        <w:t>anto</w:t>
      </w:r>
      <w:r w:rsidR="00FE7786">
        <w:rPr>
          <w:rFonts w:ascii="Times New Roman" w:hAnsi="Times New Roman" w:cs="Times New Roman"/>
          <w:sz w:val="24"/>
          <w:szCs w:val="24"/>
        </w:rPr>
        <w:t xml:space="preserve"> One</w:t>
      </w:r>
      <w:r>
        <w:rPr>
          <w:rFonts w:ascii="Times New Roman" w:hAnsi="Times New Roman" w:cs="Times New Roman"/>
          <w:sz w:val="24"/>
          <w:szCs w:val="24"/>
        </w:rPr>
        <w:t xml:space="preserve"> of </w:t>
      </w:r>
      <w:r>
        <w:rPr>
          <w:rFonts w:ascii="Times New Roman" w:hAnsi="Times New Roman" w:cs="Times New Roman"/>
          <w:i/>
          <w:sz w:val="24"/>
          <w:szCs w:val="24"/>
        </w:rPr>
        <w:t>Childe Harold’s Pilgrimage</w:t>
      </w:r>
      <w:r>
        <w:rPr>
          <w:rFonts w:ascii="Times New Roman" w:hAnsi="Times New Roman" w:cs="Times New Roman"/>
          <w:sz w:val="24"/>
          <w:szCs w:val="24"/>
        </w:rPr>
        <w:t xml:space="preserve"> can be read as an early attempt to practice the kind of work that the Scottish literati arguably anticipate and Latour promotes. If the English seek solace in Highgate taverns immediately following Sunday morning services, and if this practice indcates above all their hypocrisy, then what form of entertainment do Spaniards seek on a Sunday afternoon, and what function does it serve? Byron strategically declines to tell readers immediately what Harold is describing in stanzas 71-81 of Canto 1, opting instead mostly for euphemisms and periphrastic phraseology: Although readers quickly understand that some kind of public spectacle is about to unfold --</w:t>
      </w:r>
      <w:r w:rsidRPr="000029BC">
        <w:rPr>
          <w:rFonts w:ascii="Times New Roman" w:hAnsi="Times New Roman" w:cs="Times New Roman"/>
          <w:sz w:val="24"/>
          <w:szCs w:val="24"/>
        </w:rPr>
        <w:t>“Then to the crowded circus forth they fare/ Young, old, high, low, at once the same diversion share” (1.71.718-19)</w:t>
      </w:r>
      <w:r>
        <w:rPr>
          <w:rFonts w:ascii="Times New Roman" w:hAnsi="Times New Roman" w:cs="Times New Roman"/>
          <w:sz w:val="24"/>
          <w:szCs w:val="24"/>
        </w:rPr>
        <w:t xml:space="preserve"> -- Byron makes us deduce the nature of the event in question from the evidence presented. Even once the central participants themselves begin to enter the scene, colorfully mounted on horseback with lances, for yet another stanza Byron coyly withholds the exact nature of what they have come to do. Only once one of the figures has been named “the light limb’d Matadore” (1.74.738) can we be sure, along with Harold, that we are witnessing a bullfight.</w:t>
      </w:r>
    </w:p>
    <w:p w:rsidR="00424631" w:rsidRDefault="00424631" w:rsidP="00424631">
      <w:pPr>
        <w:spacing w:line="480" w:lineRule="auto"/>
        <w:rPr>
          <w:rFonts w:ascii="Times New Roman" w:hAnsi="Times New Roman" w:cs="Times New Roman"/>
          <w:sz w:val="24"/>
          <w:szCs w:val="24"/>
        </w:rPr>
      </w:pPr>
      <w:r>
        <w:rPr>
          <w:rFonts w:ascii="Times New Roman" w:hAnsi="Times New Roman" w:cs="Times New Roman"/>
          <w:sz w:val="24"/>
          <w:szCs w:val="24"/>
        </w:rPr>
        <w:tab/>
        <w:t>Ritualistic slayings of bulls have featured in various world traditions for millennia; in its modern form, the Spanish bullfight dates from the 1720s and the style of close fighting pioneered by Fransisco Romero.</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But Byron gives us neither this genealogical information nor any “insider” information of the sort that Spaniards themselves would likely have used to explain the fight’s stages and meanings to themselves (e.g. the precise style of bullfighting being employed, comparisons between this fight and previous ones). Instead, the poet sticks primarily to an “outsider” account that conveys only what Harold himself presumably sees and understands of the event.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Byron himself had attended a bullfight on July 30, 1809</w:t>
      </w:r>
      <w:r>
        <w:rPr>
          <w:rFonts w:ascii="Times New Roman" w:hAnsi="Times New Roman" w:cs="Times New Roman"/>
          <w:i/>
          <w:sz w:val="24"/>
          <w:szCs w:val="24"/>
        </w:rPr>
        <w:t xml:space="preserve">, </w:t>
      </w:r>
      <w:r>
        <w:rPr>
          <w:rFonts w:ascii="Times New Roman" w:hAnsi="Times New Roman" w:cs="Times New Roman"/>
          <w:sz w:val="24"/>
          <w:szCs w:val="24"/>
        </w:rPr>
        <w:t>just across the bay from Cadiz at Puerto Santa Maria.</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Yet his description of it in </w:t>
      </w:r>
      <w:r>
        <w:rPr>
          <w:rFonts w:ascii="Times New Roman" w:hAnsi="Times New Roman" w:cs="Times New Roman"/>
          <w:i/>
          <w:sz w:val="24"/>
          <w:szCs w:val="24"/>
        </w:rPr>
        <w:t xml:space="preserve">Childe Harold </w:t>
      </w:r>
      <w:r>
        <w:rPr>
          <w:rFonts w:ascii="Times New Roman" w:hAnsi="Times New Roman" w:cs="Times New Roman"/>
          <w:sz w:val="24"/>
          <w:szCs w:val="24"/>
        </w:rPr>
        <w:t xml:space="preserve">remains notably </w:t>
      </w:r>
      <w:r>
        <w:rPr>
          <w:rFonts w:ascii="Times New Roman" w:hAnsi="Times New Roman" w:cs="Times New Roman"/>
          <w:sz w:val="24"/>
          <w:szCs w:val="24"/>
        </w:rPr>
        <w:lastRenderedPageBreak/>
        <w:t xml:space="preserve">generic. Packed to capacity, the arena is described in purposefully general terms, such that it comes to represent </w:t>
      </w:r>
      <w:r>
        <w:rPr>
          <w:rFonts w:ascii="Times New Roman" w:hAnsi="Times New Roman" w:cs="Times New Roman"/>
          <w:i/>
          <w:sz w:val="24"/>
          <w:szCs w:val="24"/>
        </w:rPr>
        <w:t>every</w:t>
      </w:r>
      <w:r>
        <w:rPr>
          <w:rFonts w:ascii="Times New Roman" w:hAnsi="Times New Roman" w:cs="Times New Roman"/>
          <w:sz w:val="24"/>
          <w:szCs w:val="24"/>
        </w:rPr>
        <w:t xml:space="preserve"> Spanish bullring. The audience quiets expectantly just before the first “Four cavaliers” on “gallant steeds” appear, with the matador himself on foot amongst them, “eager to invade/ The lord of lowing herds” (I.73.728-30; I.74.740-41). The ensuing spectacle unfolds with a combination of realism (for example, in the descriptions of the blood pouring out of the bull’s flanks as it is repeatedly pricked, and of the mangled carcasses of the toreadors’ horses, one of which is “unseamed” by the bulls’ horns) and attention to the sorts of ritualistic details that would strike a keen observer: trumpets sound precisely three times when it is time for the matador to take charge, for example, and later the characteristic red cloak of the bullfighter is particularly noted (I.75.746; I.78.779). As each of these details is noted, a clearer picture is created: a picture, to put it in Latourian terms, of the multitude of actants, human and non-human alike, that make up the event called a bullfight. (In th</w:t>
      </w:r>
      <w:bookmarkStart w:id="0" w:name="_GoBack"/>
      <w:bookmarkEnd w:id="0"/>
      <w:r>
        <w:rPr>
          <w:rFonts w:ascii="Times New Roman" w:hAnsi="Times New Roman" w:cs="Times New Roman"/>
          <w:sz w:val="24"/>
          <w:szCs w:val="24"/>
        </w:rPr>
        <w:t xml:space="preserve">e non-human category we must include not just the most obvious feature, the bull, but also the combatants’ costumes, their weapons, the spectators, the bullring itself, etc.) Furthermore, some of these actants can also productively described (with the help of Latour’s vocabulary) as active </w:t>
      </w:r>
      <w:r>
        <w:rPr>
          <w:rFonts w:ascii="Times New Roman" w:hAnsi="Times New Roman" w:cs="Times New Roman"/>
          <w:i/>
          <w:sz w:val="24"/>
          <w:szCs w:val="24"/>
        </w:rPr>
        <w:t>mediators</w:t>
      </w:r>
      <w:r>
        <w:rPr>
          <w:rFonts w:ascii="Times New Roman" w:hAnsi="Times New Roman" w:cs="Times New Roman"/>
          <w:sz w:val="24"/>
          <w:szCs w:val="24"/>
        </w:rPr>
        <w:t>. An actant like the bull is not simply an intermediary between the matador and the spectators, for it clearly “exceeds its conditions”: although presumably raised in a field and brought to the city to be killed for entertainment, the bull – as we will see in a moment – produces effects that go far beyond its prosaic, even humble conditions of existence.</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p>
    <w:p w:rsidR="00424631" w:rsidRDefault="00424631" w:rsidP="00424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Byron’s “actor-network-esque” representation continues as the bullfight moves toward its bloody conclusion. To the extent that the tone does not remain entirely objective, the poet’s sympathies clearly lie with the animals rather than the human participants; both the horses and the bull are celebrated with adjectives like “gallant” and “furious,” whereas the human fighters </w:t>
      </w:r>
      <w:r>
        <w:rPr>
          <w:rFonts w:ascii="Times New Roman" w:hAnsi="Times New Roman" w:cs="Times New Roman"/>
          <w:sz w:val="24"/>
          <w:szCs w:val="24"/>
        </w:rPr>
        <w:lastRenderedPageBreak/>
        <w:t>are described as “conynge” (i.e. cunning) and implicitly callous as they “play” around the dying bull (see I.73-78.). Furthermore, when the bull is finally dead, Byron’s famed irony appears to resurface in his description of its corpse loaded atop a specially “decorated car” as a “sweet sight for vulgar eyes” (I.79.789). I say “</w:t>
      </w:r>
      <w:r>
        <w:rPr>
          <w:rFonts w:ascii="Times New Roman" w:hAnsi="Times New Roman" w:cs="Times New Roman"/>
          <w:i/>
          <w:sz w:val="24"/>
          <w:szCs w:val="24"/>
        </w:rPr>
        <w:t xml:space="preserve">appears </w:t>
      </w:r>
      <w:r>
        <w:rPr>
          <w:rFonts w:ascii="Times New Roman" w:hAnsi="Times New Roman" w:cs="Times New Roman"/>
          <w:sz w:val="24"/>
          <w:szCs w:val="24"/>
        </w:rPr>
        <w:t>to resurface,” however, because in some sense he is also being entirely accurate. Although critics generally have read this bullfighting scene as a critique either of chivalry in general or of this bloodsport in particular, viewing it via Latour’s Actor-Network-Theory makes a different effect visible.</w:t>
      </w:r>
    </w:p>
    <w:p w:rsidR="00424631" w:rsidRDefault="00424631" w:rsidP="00424631">
      <w:pPr>
        <w:spacing w:line="480" w:lineRule="auto"/>
        <w:rPr>
          <w:rFonts w:ascii="Times New Roman" w:hAnsi="Times New Roman" w:cs="Times New Roman"/>
          <w:sz w:val="24"/>
          <w:szCs w:val="24"/>
        </w:rPr>
      </w:pPr>
      <w:r>
        <w:rPr>
          <w:rFonts w:ascii="Times New Roman" w:hAnsi="Times New Roman" w:cs="Times New Roman"/>
          <w:sz w:val="24"/>
          <w:szCs w:val="24"/>
        </w:rPr>
        <w:tab/>
        <w:t>For Latour, after all, the important question to ask of any event is not “Is it natural or constructed?” – the question with which the Moderns haunted themselves – but rather “Is it well constructed or poorly constructed?”</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In this case, that means asking, not “Does Byron see the bullfight as good or bad?” but rather “In what ways does Byron see the bullfight function for the Spaniards who take part in it, mostly as spectators?” Superficially, Byron appears to condemn the bullfight for seeming to lead to/ encourage bloodthirstiness and high passions, which in turn (he suggests) lead to internecine fighting among Spanish villagers: </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Such the ungentle sport that oft invites</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Spanish maid, and cheers the Spanish swain. </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Nurtur’d in blood betimes, his heart delights</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In vengeance, gloating on another’s pain.</w:t>
      </w:r>
    </w:p>
    <w:p w:rsidR="00424631" w:rsidRDefault="00424631" w:rsidP="00424631">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private feuds the troubled village stain!   (1.80.792-96)</w:t>
      </w:r>
    </w:p>
    <w:p w:rsidR="00424631" w:rsidRDefault="00424631" w:rsidP="00424631">
      <w:pPr>
        <w:spacing w:line="240" w:lineRule="auto"/>
        <w:ind w:firstLine="720"/>
        <w:rPr>
          <w:rFonts w:ascii="Times New Roman" w:hAnsi="Times New Roman" w:cs="Times New Roman"/>
          <w:sz w:val="24"/>
          <w:szCs w:val="24"/>
        </w:rPr>
      </w:pPr>
    </w:p>
    <w:p w:rsidR="00424631" w:rsidRDefault="00424631" w:rsidP="0042463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sounds disapproving, to be sure. But – and here we must simply take Byron at his word with regard to such effects -- it turns out that producing and maintaining a high level of bloodthirstiness in the Spaniards has definite advantages too. For after several more passages, </w:t>
      </w:r>
      <w:r w:rsidRPr="00E45BF9">
        <w:rPr>
          <w:rFonts w:ascii="Times New Roman" w:hAnsi="Times New Roman" w:cs="Times New Roman"/>
          <w:sz w:val="24"/>
          <w:szCs w:val="24"/>
        </w:rPr>
        <w:t xml:space="preserve">Byron spends the remaining </w:t>
      </w:r>
      <w:r>
        <w:rPr>
          <w:rFonts w:ascii="Times New Roman" w:hAnsi="Times New Roman" w:cs="Times New Roman"/>
          <w:sz w:val="24"/>
          <w:szCs w:val="24"/>
        </w:rPr>
        <w:t xml:space="preserve">9 stanzas celebrating Spain’s national vigor: the martial spirit, which </w:t>
      </w:r>
      <w:r>
        <w:rPr>
          <w:rFonts w:ascii="Times New Roman" w:hAnsi="Times New Roman" w:cs="Times New Roman"/>
          <w:sz w:val="24"/>
          <w:szCs w:val="24"/>
        </w:rPr>
        <w:lastRenderedPageBreak/>
        <w:t xml:space="preserve">Ferguson worried inevitably diminishes in overly sophisticated societies, and which was precisely what was needed, at the time, to resist Napoleon’s forces during the brutal Peninsular War. </w:t>
      </w:r>
    </w:p>
    <w:p w:rsidR="00424631" w:rsidRDefault="00424631" w:rsidP="0042463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Indeed, after noting the “strange” fact that the Spaniards have continued to put up an impassioned resistance to Napoleon even after their king and prince have both abdicated (I.86.882-85), Byron explains this state of affairs with reference, once again, to the Spaniards’ supposedly  inherent love of fighting and thirst for revenge:</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Ye, who would more of Spain and Spaniards know,</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Go, read whate’er is writ of bloodiest strife:</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Whate’er keen Vengeance urg’d on foreign foe</w:t>
      </w:r>
    </w:p>
    <w:p w:rsidR="00424631" w:rsidRDefault="00424631" w:rsidP="00424631">
      <w:pPr>
        <w:spacing w:line="240" w:lineRule="auto"/>
        <w:rPr>
          <w:rFonts w:ascii="Times New Roman" w:hAnsi="Times New Roman" w:cs="Times New Roman"/>
          <w:sz w:val="24"/>
          <w:szCs w:val="24"/>
        </w:rPr>
      </w:pPr>
      <w:r>
        <w:rPr>
          <w:rFonts w:ascii="Times New Roman" w:hAnsi="Times New Roman" w:cs="Times New Roman"/>
          <w:sz w:val="24"/>
          <w:szCs w:val="24"/>
        </w:rPr>
        <w:tab/>
        <w:t>Can act, is acting there against man’s life. . . .   (1.87.891-94)</w:t>
      </w:r>
    </w:p>
    <w:p w:rsidR="00424631" w:rsidRDefault="00424631" w:rsidP="00424631">
      <w:pPr>
        <w:spacing w:line="240" w:lineRule="auto"/>
        <w:rPr>
          <w:rFonts w:ascii="Times New Roman" w:hAnsi="Times New Roman" w:cs="Times New Roman"/>
          <w:sz w:val="24"/>
          <w:szCs w:val="24"/>
        </w:rPr>
      </w:pPr>
    </w:p>
    <w:p w:rsidR="00424631" w:rsidRPr="007C701C" w:rsidRDefault="00424631" w:rsidP="00424631">
      <w:pPr>
        <w:spacing w:line="480" w:lineRule="auto"/>
        <w:rPr>
          <w:rFonts w:ascii="Times New Roman" w:hAnsi="Times New Roman" w:cs="Times New Roman"/>
          <w:sz w:val="24"/>
          <w:szCs w:val="24"/>
        </w:rPr>
      </w:pPr>
      <w:r w:rsidRPr="00E87F8F">
        <w:rPr>
          <w:rFonts w:ascii="Times New Roman" w:hAnsi="Times New Roman" w:cs="Times New Roman"/>
          <w:sz w:val="24"/>
          <w:szCs w:val="24"/>
        </w:rPr>
        <w:t>Significantly,</w:t>
      </w:r>
      <w:r>
        <w:rPr>
          <w:rFonts w:ascii="Times New Roman" w:hAnsi="Times New Roman" w:cs="Times New Roman"/>
          <w:sz w:val="24"/>
          <w:szCs w:val="24"/>
        </w:rPr>
        <w:t xml:space="preserve"> the terms with</w:t>
      </w:r>
      <w:r w:rsidRPr="00E87F8F">
        <w:rPr>
          <w:rFonts w:ascii="Times New Roman" w:hAnsi="Times New Roman" w:cs="Times New Roman"/>
          <w:sz w:val="24"/>
          <w:szCs w:val="24"/>
        </w:rPr>
        <w:t xml:space="preserve"> which Byron celebrates S</w:t>
      </w:r>
      <w:r>
        <w:rPr>
          <w:rFonts w:ascii="Times New Roman" w:hAnsi="Times New Roman" w:cs="Times New Roman"/>
          <w:sz w:val="24"/>
          <w:szCs w:val="24"/>
        </w:rPr>
        <w:t>pain’s ability to resist</w:t>
      </w:r>
      <w:r w:rsidRPr="00E87F8F">
        <w:rPr>
          <w:rFonts w:ascii="Times New Roman" w:hAnsi="Times New Roman" w:cs="Times New Roman"/>
          <w:sz w:val="24"/>
          <w:szCs w:val="24"/>
        </w:rPr>
        <w:t xml:space="preserve"> the French</w:t>
      </w:r>
      <w:r>
        <w:rPr>
          <w:rFonts w:ascii="Times New Roman" w:hAnsi="Times New Roman" w:cs="Times New Roman"/>
          <w:sz w:val="24"/>
          <w:szCs w:val="24"/>
        </w:rPr>
        <w:t xml:space="preserve"> occupiers</w:t>
      </w:r>
      <w:r w:rsidRPr="00E87F8F">
        <w:rPr>
          <w:rFonts w:ascii="Times New Roman" w:hAnsi="Times New Roman" w:cs="Times New Roman"/>
          <w:sz w:val="24"/>
          <w:szCs w:val="24"/>
        </w:rPr>
        <w:t xml:space="preserve"> </w:t>
      </w:r>
      <w:r>
        <w:rPr>
          <w:rFonts w:ascii="Times New Roman" w:hAnsi="Times New Roman" w:cs="Times New Roman"/>
          <w:sz w:val="24"/>
          <w:szCs w:val="24"/>
        </w:rPr>
        <w:t>precisely echo those</w:t>
      </w:r>
      <w:r w:rsidRPr="00E87F8F">
        <w:rPr>
          <w:rFonts w:ascii="Times New Roman" w:hAnsi="Times New Roman" w:cs="Times New Roman"/>
          <w:sz w:val="24"/>
          <w:szCs w:val="24"/>
        </w:rPr>
        <w:t xml:space="preserve"> he earlier </w:t>
      </w:r>
      <w:r>
        <w:rPr>
          <w:rFonts w:ascii="Times New Roman" w:hAnsi="Times New Roman" w:cs="Times New Roman"/>
          <w:sz w:val="24"/>
          <w:szCs w:val="24"/>
        </w:rPr>
        <w:t>asserted were produced, encouraged, and inculcated at</w:t>
      </w:r>
      <w:r w:rsidRPr="00E87F8F">
        <w:rPr>
          <w:rFonts w:ascii="Times New Roman" w:hAnsi="Times New Roman" w:cs="Times New Roman"/>
          <w:sz w:val="24"/>
          <w:szCs w:val="24"/>
        </w:rPr>
        <w:t xml:space="preserve"> the bullfight</w:t>
      </w:r>
      <w:r>
        <w:rPr>
          <w:rFonts w:ascii="Times New Roman" w:hAnsi="Times New Roman" w:cs="Times New Roman"/>
          <w:sz w:val="24"/>
          <w:szCs w:val="24"/>
        </w:rPr>
        <w:t xml:space="preserve">. The Spaniards’ previously noted nonchalance with regard to dying animals transforms into admirable resolution in the face of “bloodiest strife”; the “delight in vengeance” nurtured by the brutal spectacle of the bullring finds its proper outlet in the Spaniards’ ongoing, increasingly vicious guerilla war. Furthermore, what previously sounded like a hint of disapproval concerning the very mixed crowd in the arena now is also turned around, as it is precisely Spain’s commoners who continue to resist the French long after their sovereigns’ abdications. The bullfight, as Byron shows through Harold’s eyes, is a typically Spanish event – not because it </w:t>
      </w:r>
      <w:r w:rsidRPr="007C701C">
        <w:rPr>
          <w:rFonts w:ascii="Times New Roman" w:hAnsi="Times New Roman" w:cs="Times New Roman"/>
          <w:i/>
          <w:sz w:val="24"/>
          <w:szCs w:val="24"/>
        </w:rPr>
        <w:t>is</w:t>
      </w:r>
      <w:r>
        <w:rPr>
          <w:rFonts w:ascii="Times New Roman" w:hAnsi="Times New Roman" w:cs="Times New Roman"/>
          <w:sz w:val="24"/>
          <w:szCs w:val="24"/>
        </w:rPr>
        <w:t xml:space="preserve"> Spanish in some kind of essential way, however, but rather because it </w:t>
      </w:r>
      <w:r>
        <w:rPr>
          <w:rFonts w:ascii="Times New Roman" w:hAnsi="Times New Roman" w:cs="Times New Roman"/>
          <w:i/>
          <w:sz w:val="24"/>
          <w:szCs w:val="24"/>
        </w:rPr>
        <w:t xml:space="preserve">produces </w:t>
      </w:r>
      <w:r>
        <w:rPr>
          <w:rFonts w:ascii="Times New Roman" w:hAnsi="Times New Roman" w:cs="Times New Roman"/>
          <w:i/>
          <w:sz w:val="24"/>
          <w:szCs w:val="24"/>
        </w:rPr>
        <w:lastRenderedPageBreak/>
        <w:t>Spanishness</w:t>
      </w:r>
      <w:r>
        <w:rPr>
          <w:rFonts w:ascii="Times New Roman" w:hAnsi="Times New Roman" w:cs="Times New Roman"/>
          <w:sz w:val="24"/>
          <w:szCs w:val="24"/>
        </w:rPr>
        <w:t xml:space="preserve"> – the blend of bloodthirstiness, vengeance, and passion that Byron correctly sees is necessary to roll back the Napoleonic tide.</w:t>
      </w:r>
    </w:p>
    <w:p w:rsidR="00424631" w:rsidRDefault="00424631" w:rsidP="00B756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may no longer be fighting the Napoleonic Wars, as Britain was when Byron wrote </w:t>
      </w:r>
      <w:r>
        <w:rPr>
          <w:rFonts w:ascii="Times New Roman" w:hAnsi="Times New Roman" w:cs="Times New Roman"/>
          <w:i/>
          <w:sz w:val="24"/>
          <w:szCs w:val="24"/>
        </w:rPr>
        <w:t>Childe Harold’s Pilgrimage</w:t>
      </w:r>
      <w:r w:rsidR="0056719D">
        <w:rPr>
          <w:rFonts w:ascii="Times New Roman" w:hAnsi="Times New Roman" w:cs="Times New Roman"/>
          <w:sz w:val="24"/>
          <w:szCs w:val="24"/>
        </w:rPr>
        <w:t xml:space="preserve">. But as we enter </w:t>
      </w:r>
      <w:r>
        <w:rPr>
          <w:rFonts w:ascii="Times New Roman" w:hAnsi="Times New Roman" w:cs="Times New Roman"/>
          <w:sz w:val="24"/>
          <w:szCs w:val="24"/>
        </w:rPr>
        <w:t>the Anthropocene</w:t>
      </w:r>
      <w:r w:rsidR="0056719D">
        <w:rPr>
          <w:rFonts w:ascii="Times New Roman" w:hAnsi="Times New Roman" w:cs="Times New Roman"/>
          <w:sz w:val="24"/>
          <w:szCs w:val="24"/>
        </w:rPr>
        <w:t xml:space="preserve"> Era</w:t>
      </w:r>
      <w:r>
        <w:rPr>
          <w:rFonts w:ascii="Times New Roman" w:hAnsi="Times New Roman" w:cs="Times New Roman"/>
          <w:sz w:val="24"/>
          <w:szCs w:val="24"/>
        </w:rPr>
        <w:t>, we may have a much greater battle on our hands, one in which humans and the planet together occupy all sides of the battlefield simultaneously. Then it will no longer be a matter of seeing how national characters are produced, but seeing how humanity as a whole has produced a situation that may well alter the course of human history even more substantially than did Napoleon when he tried to occupy the Iberian peninsula and was resisted by those bloodthirsty, bullfight attending Spaniards – with Childe Harold looking on and taking notes.</w:t>
      </w:r>
      <w:r w:rsidR="0056719D">
        <w:rPr>
          <w:rFonts w:ascii="Times New Roman" w:hAnsi="Times New Roman" w:cs="Times New Roman"/>
          <w:sz w:val="24"/>
          <w:szCs w:val="24"/>
        </w:rPr>
        <w:t xml:space="preserve"> </w:t>
      </w:r>
    </w:p>
    <w:sectPr w:rsidR="00424631">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CD" w:rsidRDefault="00A973CD" w:rsidP="00424631">
      <w:pPr>
        <w:spacing w:after="0" w:line="240" w:lineRule="auto"/>
      </w:pPr>
      <w:r>
        <w:separator/>
      </w:r>
    </w:p>
  </w:endnote>
  <w:endnote w:type="continuationSeparator" w:id="0">
    <w:p w:rsidR="00A973CD" w:rsidRDefault="00A973CD" w:rsidP="00424631">
      <w:pPr>
        <w:spacing w:after="0" w:line="240" w:lineRule="auto"/>
      </w:pPr>
      <w:r>
        <w:continuationSeparator/>
      </w:r>
    </w:p>
  </w:endnote>
  <w:endnote w:id="1">
    <w:p w:rsidR="00F078E0" w:rsidRDefault="00F078E0" w:rsidP="00424631">
      <w:pPr>
        <w:pStyle w:val="EndnoteText"/>
      </w:pPr>
      <w:r>
        <w:t>Notes</w:t>
      </w:r>
    </w:p>
    <w:p w:rsidR="00F078E0" w:rsidRDefault="00F078E0" w:rsidP="00424631">
      <w:pPr>
        <w:pStyle w:val="EndnoteText"/>
      </w:pPr>
    </w:p>
    <w:p w:rsidR="00424631" w:rsidRDefault="00424631" w:rsidP="00424631">
      <w:pPr>
        <w:pStyle w:val="EndnoteText"/>
        <w:rPr>
          <w:lang w:val="en-GB"/>
        </w:rPr>
      </w:pPr>
      <w:r>
        <w:rPr>
          <w:rStyle w:val="EndnoteReference"/>
        </w:rPr>
        <w:endnoteRef/>
      </w:r>
      <w:r>
        <w:t xml:space="preserve"> See, e.g., Tom Mole, </w:t>
      </w:r>
      <w:r>
        <w:rPr>
          <w:i/>
        </w:rPr>
        <w:t>Byron’s Romantic Celebrity: Industrial Culture and the Hermeneutics of Intimacy</w:t>
      </w:r>
      <w:r>
        <w:t xml:space="preserve"> (Basingstoke: Palgrave Macmillan, 2007).</w:t>
      </w:r>
    </w:p>
  </w:endnote>
  <w:endnote w:id="2">
    <w:p w:rsidR="00424631" w:rsidRDefault="00424631" w:rsidP="00424631">
      <w:pPr>
        <w:pStyle w:val="EndnoteText"/>
      </w:pPr>
    </w:p>
    <w:p w:rsidR="00424631" w:rsidRPr="000D2E2B" w:rsidRDefault="00424631" w:rsidP="00424631">
      <w:pPr>
        <w:pStyle w:val="EndnoteText"/>
        <w:rPr>
          <w:lang w:val="en-GB"/>
        </w:rPr>
      </w:pPr>
      <w:r>
        <w:rPr>
          <w:rStyle w:val="EndnoteReference"/>
        </w:rPr>
        <w:endnoteRef/>
      </w:r>
      <w:r>
        <w:t xml:space="preserve"> Anthony Howe, </w:t>
      </w:r>
      <w:r>
        <w:rPr>
          <w:i/>
        </w:rPr>
        <w:t>Byron and the Forms of Thought</w:t>
      </w:r>
      <w:r>
        <w:t xml:space="preserve"> (Liverpool: Liverpool University Press, 2013), 1. As his title makes clear, Howe is paraphrasing this perspective, not condoning it. </w:t>
      </w:r>
    </w:p>
  </w:endnote>
  <w:endnote w:id="3">
    <w:p w:rsidR="00424631" w:rsidRDefault="00424631" w:rsidP="00424631">
      <w:pPr>
        <w:pStyle w:val="EndnoteText"/>
      </w:pPr>
    </w:p>
    <w:p w:rsidR="00424631" w:rsidRDefault="00424631" w:rsidP="00424631">
      <w:pPr>
        <w:pStyle w:val="EndnoteText"/>
      </w:pPr>
      <w:r>
        <w:rPr>
          <w:rStyle w:val="EndnoteReference"/>
        </w:rPr>
        <w:endnoteRef/>
      </w:r>
      <w:r>
        <w:t xml:space="preserve"> Eliot, quoted in Anne Barton, “Byron Lives!,” </w:t>
      </w:r>
      <w:r>
        <w:rPr>
          <w:i/>
        </w:rPr>
        <w:t>The New York Review of Books</w:t>
      </w:r>
      <w:r>
        <w:t xml:space="preserve"> 40.11 (10 June 1993): [pg?]; </w:t>
      </w:r>
      <w:hyperlink r:id="rId1" w:history="1">
        <w:r>
          <w:rPr>
            <w:rStyle w:val="Hyperlink"/>
          </w:rPr>
          <w:t>www.nybooks.com/articles/archives/1993/jun/10/byron-lives/?insrc=toc</w:t>
        </w:r>
      </w:hyperlink>
      <w:r>
        <w:t>. Accessed 5/ 2/ 2014.</w:t>
      </w:r>
    </w:p>
    <w:p w:rsidR="00424631" w:rsidRDefault="00424631" w:rsidP="00424631">
      <w:pPr>
        <w:pStyle w:val="EndnoteText"/>
      </w:pPr>
      <w:r>
        <w:t xml:space="preserve"> </w:t>
      </w:r>
    </w:p>
  </w:endnote>
  <w:endnote w:id="4">
    <w:p w:rsidR="00424631" w:rsidRDefault="00424631" w:rsidP="00424631">
      <w:pPr>
        <w:pStyle w:val="EndnoteText"/>
      </w:pPr>
      <w:r>
        <w:rPr>
          <w:rStyle w:val="EndnoteReference"/>
        </w:rPr>
        <w:endnoteRef/>
      </w:r>
      <w:r>
        <w:t xml:space="preserve"> Emily A. Bernhard Jackson, </w:t>
      </w:r>
      <w:r>
        <w:rPr>
          <w:i/>
        </w:rPr>
        <w:t>The Development of Byron’s Philosophy of Knowledge: Certainty in Uncertainty</w:t>
      </w:r>
      <w:r>
        <w:t xml:space="preserve"> (Houndmills, UK: Palgrave Macmillan, 2010), 14.</w:t>
      </w:r>
    </w:p>
    <w:p w:rsidR="00424631" w:rsidRDefault="00424631" w:rsidP="00424631">
      <w:pPr>
        <w:pStyle w:val="EndnoteText"/>
      </w:pPr>
    </w:p>
  </w:endnote>
  <w:endnote w:id="5">
    <w:p w:rsidR="00424631" w:rsidRDefault="00424631" w:rsidP="00424631">
      <w:pPr>
        <w:pStyle w:val="EndnoteText"/>
      </w:pPr>
      <w:r>
        <w:rPr>
          <w:rStyle w:val="EndnoteReference"/>
        </w:rPr>
        <w:endnoteRef/>
      </w:r>
      <w:r>
        <w:t xml:space="preserve"> Bernhard Jackson, </w:t>
      </w:r>
      <w:r>
        <w:rPr>
          <w:i/>
        </w:rPr>
        <w:t>Byron’s Philosophy of Knowledge</w:t>
      </w:r>
      <w:r>
        <w:t>, 14.</w:t>
      </w:r>
    </w:p>
    <w:p w:rsidR="00424631" w:rsidRDefault="00424631" w:rsidP="00424631">
      <w:pPr>
        <w:pStyle w:val="EndnoteText"/>
      </w:pPr>
    </w:p>
  </w:endnote>
  <w:endnote w:id="6">
    <w:p w:rsidR="00424631" w:rsidRDefault="00424631" w:rsidP="00424631">
      <w:pPr>
        <w:pStyle w:val="EndnoteText"/>
      </w:pPr>
      <w:r>
        <w:rPr>
          <w:rStyle w:val="EndnoteReference"/>
        </w:rPr>
        <w:endnoteRef/>
      </w:r>
      <w:r>
        <w:t xml:space="preserve"> Byron, </w:t>
      </w:r>
      <w:r>
        <w:rPr>
          <w:i/>
        </w:rPr>
        <w:t xml:space="preserve">The Works of Lord Byron: Letters and Journals </w:t>
      </w:r>
      <w:r w:rsidR="00293E53">
        <w:t>Vol.</w:t>
      </w:r>
      <w:r>
        <w:t xml:space="preserve"> 1., ed. Rowland E. Prothero (1898). </w:t>
      </w:r>
      <w:hyperlink r:id="rId2" w:history="1">
        <w:r w:rsidRPr="00811E09">
          <w:rPr>
            <w:rStyle w:val="Hyperlink"/>
          </w:rPr>
          <w:t>http://www.gutenberg.org/cache/epub/8901/pg8901.html</w:t>
        </w:r>
      </w:hyperlink>
      <w:r>
        <w:t>. Accessed 7/15/2014.</w:t>
      </w:r>
    </w:p>
    <w:p w:rsidR="00424631" w:rsidRPr="00107AF4" w:rsidRDefault="00424631" w:rsidP="00424631">
      <w:pPr>
        <w:pStyle w:val="EndnoteText"/>
        <w:rPr>
          <w:lang w:val="en-GB"/>
        </w:rPr>
      </w:pPr>
    </w:p>
  </w:endnote>
  <w:endnote w:id="7">
    <w:p w:rsidR="00B756B9" w:rsidRPr="0056719D" w:rsidRDefault="00B756B9" w:rsidP="00B756B9">
      <w:pPr>
        <w:pStyle w:val="EndnoteText"/>
      </w:pPr>
      <w:r>
        <w:rPr>
          <w:rStyle w:val="EndnoteReference"/>
        </w:rPr>
        <w:endnoteRef/>
      </w:r>
      <w:r>
        <w:t xml:space="preserve"> Graham Haman, </w:t>
      </w:r>
      <w:r>
        <w:rPr>
          <w:i/>
        </w:rPr>
        <w:t>Prince of Networks: Bruno Latour and Metaphysics</w:t>
      </w:r>
      <w:r>
        <w:t xml:space="preserve"> (Melbourne: re.press, 2009). </w:t>
      </w:r>
    </w:p>
  </w:endnote>
  <w:endnote w:id="8">
    <w:p w:rsidR="00424631" w:rsidRPr="001B433A" w:rsidRDefault="00424631" w:rsidP="00424631">
      <w:pPr>
        <w:pStyle w:val="EndnoteText"/>
      </w:pPr>
      <w:r>
        <w:rPr>
          <w:rStyle w:val="EndnoteReference"/>
        </w:rPr>
        <w:endnoteRef/>
      </w:r>
      <w:r>
        <w:t xml:space="preserve"> Byron, </w:t>
      </w:r>
      <w:r>
        <w:rPr>
          <w:i/>
        </w:rPr>
        <w:t>Childe Harold’s Pilgrimage</w:t>
      </w:r>
      <w:r>
        <w:t xml:space="preserve">, in </w:t>
      </w:r>
      <w:r>
        <w:rPr>
          <w:i/>
        </w:rPr>
        <w:t>The Major Works</w:t>
      </w:r>
      <w:r>
        <w:t>, ed. Jerome J. McGann (New York: Oxford University Press, 1986), p. 44, I.69.692-692-701. Subsequent citations will appear parenthetically.</w:t>
      </w:r>
    </w:p>
  </w:endnote>
  <w:endnote w:id="9">
    <w:p w:rsidR="00424631" w:rsidRDefault="00424631" w:rsidP="00424631">
      <w:pPr>
        <w:pStyle w:val="EndnoteText"/>
      </w:pPr>
    </w:p>
    <w:p w:rsidR="00424631" w:rsidRDefault="00424631" w:rsidP="00424631">
      <w:pPr>
        <w:pStyle w:val="EndnoteText"/>
      </w:pPr>
      <w:r>
        <w:rPr>
          <w:rStyle w:val="EndnoteReference"/>
        </w:rPr>
        <w:endnoteRef/>
      </w:r>
      <w:r>
        <w:t xml:space="preserve"> See McGann, “Introduction” to </w:t>
      </w:r>
      <w:r>
        <w:rPr>
          <w:i/>
        </w:rPr>
        <w:t>The Major Works</w:t>
      </w:r>
      <w:r>
        <w:t xml:space="preserve"> by Byron, ed. McGann, esp. xv-xvi.</w:t>
      </w:r>
    </w:p>
    <w:p w:rsidR="00424631" w:rsidRDefault="00424631" w:rsidP="00424631">
      <w:pPr>
        <w:pStyle w:val="EndnoteText"/>
      </w:pPr>
    </w:p>
  </w:endnote>
  <w:endnote w:id="10">
    <w:p w:rsidR="00424631" w:rsidRPr="00D05FD1" w:rsidRDefault="00424631" w:rsidP="00424631">
      <w:pPr>
        <w:pStyle w:val="EndnoteText"/>
        <w:rPr>
          <w:lang w:val="en-GB"/>
        </w:rPr>
      </w:pPr>
      <w:r>
        <w:rPr>
          <w:rStyle w:val="EndnoteReference"/>
        </w:rPr>
        <w:endnoteRef/>
      </w:r>
      <w:r>
        <w:t xml:space="preserve"> Latour, </w:t>
      </w:r>
      <w:r>
        <w:rPr>
          <w:i/>
        </w:rPr>
        <w:t>An Inquiry into Modes of Existence: An Anthropology of the Moderns</w:t>
      </w:r>
      <w:r>
        <w:t>, trans. Catherine Porter (Cambridge, MA: Harvard University Press, 2013).</w:t>
      </w:r>
    </w:p>
    <w:p w:rsidR="00424631" w:rsidRPr="00D05FD1" w:rsidRDefault="00424631" w:rsidP="00424631">
      <w:pPr>
        <w:pStyle w:val="EndnoteText"/>
        <w:rPr>
          <w:lang w:val="en-GB"/>
        </w:rPr>
      </w:pPr>
    </w:p>
  </w:endnote>
  <w:endnote w:id="11">
    <w:p w:rsidR="00424631" w:rsidRDefault="00424631" w:rsidP="00424631">
      <w:pPr>
        <w:pStyle w:val="EndnoteText"/>
      </w:pPr>
    </w:p>
    <w:p w:rsidR="00424631" w:rsidRDefault="00424631" w:rsidP="00424631">
      <w:pPr>
        <w:pStyle w:val="EndnoteText"/>
      </w:pPr>
      <w:r>
        <w:rPr>
          <w:rStyle w:val="EndnoteReference"/>
        </w:rPr>
        <w:endnoteRef/>
      </w:r>
      <w:r>
        <w:t xml:space="preserve"> Latour, </w:t>
      </w:r>
      <w:r>
        <w:rPr>
          <w:i/>
        </w:rPr>
        <w:t>We Have Never Been Modern</w:t>
      </w:r>
      <w:r>
        <w:t>, trans. Catherine Porter (Cambridge, MA: Harvard University Press, 1993.</w:t>
      </w:r>
    </w:p>
    <w:p w:rsidR="00424631" w:rsidRPr="000A4BE1" w:rsidRDefault="00424631" w:rsidP="00424631">
      <w:pPr>
        <w:pStyle w:val="EndnoteText"/>
      </w:pPr>
    </w:p>
  </w:endnote>
  <w:endnote w:id="12">
    <w:p w:rsidR="00424631" w:rsidRDefault="00424631" w:rsidP="00424631">
      <w:pPr>
        <w:pStyle w:val="EndnoteText"/>
      </w:pPr>
      <w:r>
        <w:rPr>
          <w:rStyle w:val="EndnoteReference"/>
        </w:rPr>
        <w:endnoteRef/>
      </w:r>
      <w:r>
        <w:t xml:space="preserve"> Latour, </w:t>
      </w:r>
      <w:r>
        <w:rPr>
          <w:i/>
        </w:rPr>
        <w:t>We Have Never Been Modern</w:t>
      </w:r>
      <w:r>
        <w:t>, 139, 74.</w:t>
      </w:r>
    </w:p>
    <w:p w:rsidR="00424631" w:rsidRPr="00DA4852" w:rsidRDefault="00424631" w:rsidP="00424631">
      <w:pPr>
        <w:pStyle w:val="EndnoteText"/>
        <w:rPr>
          <w:lang w:val="en-GB"/>
        </w:rPr>
      </w:pPr>
      <w:r>
        <w:t xml:space="preserve"> </w:t>
      </w:r>
    </w:p>
  </w:endnote>
  <w:endnote w:id="13">
    <w:p w:rsidR="00424631" w:rsidRPr="00AD6EC0" w:rsidRDefault="00424631" w:rsidP="00424631">
      <w:pPr>
        <w:pStyle w:val="EndnoteText"/>
        <w:rPr>
          <w:lang w:val="en-GB"/>
        </w:rPr>
      </w:pPr>
      <w:r>
        <w:rPr>
          <w:rStyle w:val="EndnoteReference"/>
        </w:rPr>
        <w:endnoteRef/>
      </w:r>
      <w:r>
        <w:t xml:space="preserve"> </w:t>
      </w:r>
      <w:r>
        <w:rPr>
          <w:lang w:val="en-GB"/>
        </w:rPr>
        <w:t xml:space="preserve">Latour, </w:t>
      </w:r>
      <w:r>
        <w:rPr>
          <w:i/>
          <w:lang w:val="en-GB"/>
        </w:rPr>
        <w:t>We Have Never Been Modern</w:t>
      </w:r>
      <w:r>
        <w:rPr>
          <w:lang w:val="en-GB"/>
        </w:rPr>
        <w:t>, 137, 139.</w:t>
      </w:r>
    </w:p>
  </w:endnote>
  <w:endnote w:id="14">
    <w:p w:rsidR="00424631" w:rsidRDefault="00424631" w:rsidP="00424631">
      <w:pPr>
        <w:pStyle w:val="EndnoteText"/>
      </w:pPr>
    </w:p>
    <w:p w:rsidR="00424631" w:rsidRPr="002B1D9F" w:rsidRDefault="00424631" w:rsidP="00424631">
      <w:pPr>
        <w:pStyle w:val="EndnoteText"/>
        <w:rPr>
          <w:lang w:val="en-GB"/>
        </w:rPr>
      </w:pPr>
      <w:r>
        <w:rPr>
          <w:rStyle w:val="EndnoteReference"/>
        </w:rPr>
        <w:endnoteRef/>
      </w:r>
      <w:r>
        <w:t xml:space="preserve"> See the entry “Bullfighting” on Wikipedia, </w:t>
      </w:r>
      <w:hyperlink r:id="rId3" w:history="1">
        <w:r w:rsidRPr="00307AA2">
          <w:rPr>
            <w:rStyle w:val="Hyperlink"/>
          </w:rPr>
          <w:t>http://en.wikipedia.org/wiki/Bullfighting</w:t>
        </w:r>
      </w:hyperlink>
      <w:r>
        <w:t>. Accessed 6/20/2014.</w:t>
      </w:r>
    </w:p>
  </w:endnote>
  <w:endnote w:id="15">
    <w:p w:rsidR="00424631" w:rsidRDefault="00424631" w:rsidP="00424631">
      <w:pPr>
        <w:pStyle w:val="EndnoteText"/>
      </w:pPr>
    </w:p>
    <w:p w:rsidR="00424631" w:rsidRDefault="00424631" w:rsidP="00424631">
      <w:pPr>
        <w:pStyle w:val="EndnoteText"/>
      </w:pPr>
      <w:r>
        <w:rPr>
          <w:rStyle w:val="EndnoteReference"/>
        </w:rPr>
        <w:endnoteRef/>
      </w:r>
      <w:r>
        <w:t xml:space="preserve"> </w:t>
      </w:r>
      <w:r w:rsidRPr="0011001F">
        <w:t xml:space="preserve">Harold is a consummate observer, as Stanza 84 makes clear (the context here is no longer the bullfight specifically, but the description is accurate nonetheless): “Still he beheld, nor mingled with the throng; But view’d them not with misanthropic hate” </w:t>
      </w:r>
      <w:r>
        <w:t>(</w:t>
      </w:r>
      <w:r w:rsidRPr="0011001F">
        <w:rPr>
          <w:i/>
        </w:rPr>
        <w:t xml:space="preserve">Childe Harold’s Pilgrimage </w:t>
      </w:r>
      <w:r w:rsidRPr="0011001F">
        <w:t>1.84.828-29</w:t>
      </w:r>
      <w:r>
        <w:t>)</w:t>
      </w:r>
      <w:r w:rsidRPr="0011001F">
        <w:t>.</w:t>
      </w:r>
    </w:p>
    <w:p w:rsidR="00424631" w:rsidRPr="0011001F" w:rsidRDefault="00424631" w:rsidP="00424631">
      <w:pPr>
        <w:pStyle w:val="EndnoteText"/>
        <w:rPr>
          <w:lang w:val="en-GB"/>
        </w:rPr>
      </w:pPr>
    </w:p>
  </w:endnote>
  <w:endnote w:id="16">
    <w:p w:rsidR="00424631" w:rsidRDefault="00424631" w:rsidP="00424631">
      <w:pPr>
        <w:pStyle w:val="EndnoteText"/>
        <w:rPr>
          <w:lang w:val="en-GB"/>
        </w:rPr>
      </w:pPr>
      <w:r>
        <w:rPr>
          <w:rStyle w:val="EndnoteReference"/>
        </w:rPr>
        <w:endnoteRef/>
      </w:r>
      <w:r>
        <w:t xml:space="preserve"> </w:t>
      </w:r>
      <w:r>
        <w:rPr>
          <w:lang w:val="en-GB"/>
        </w:rPr>
        <w:t xml:space="preserve">See Fiona MacCarthy, </w:t>
      </w:r>
      <w:r>
        <w:rPr>
          <w:i/>
          <w:lang w:val="en-GB"/>
        </w:rPr>
        <w:t>Byron: Life and Legend</w:t>
      </w:r>
      <w:r>
        <w:rPr>
          <w:lang w:val="en-GB"/>
        </w:rPr>
        <w:t xml:space="preserve"> (London: Faber and Faber, 2003), who writes that “the bullfight . . . aroused mixed emotions in Byron: excitement at the drama, horror at the torments of the torreador’s dying horse” (96).</w:t>
      </w:r>
    </w:p>
    <w:p w:rsidR="00424631" w:rsidRPr="000D572C" w:rsidRDefault="00424631" w:rsidP="00424631">
      <w:pPr>
        <w:pStyle w:val="EndnoteText"/>
        <w:rPr>
          <w:lang w:val="en-GB"/>
        </w:rPr>
      </w:pPr>
    </w:p>
  </w:endnote>
  <w:endnote w:id="17">
    <w:p w:rsidR="00424631" w:rsidRPr="006441D2" w:rsidRDefault="00424631" w:rsidP="00424631">
      <w:pPr>
        <w:pStyle w:val="EndnoteText"/>
        <w:rPr>
          <w:lang w:val="en-GB"/>
        </w:rPr>
      </w:pPr>
      <w:r>
        <w:rPr>
          <w:rStyle w:val="EndnoteReference"/>
        </w:rPr>
        <w:endnoteRef/>
      </w:r>
      <w:r>
        <w:t xml:space="preserve"> For Latour’s definition of “mediation” (as opposed to a mere “intermediary”), see its definition on p. 307 in the  very useful glossary near the end of </w:t>
      </w:r>
      <w:r>
        <w:rPr>
          <w:i/>
        </w:rPr>
        <w:t>Pandora’s Hope</w:t>
      </w:r>
      <w:r>
        <w:t xml:space="preserve">. </w:t>
      </w:r>
    </w:p>
  </w:endnote>
  <w:endnote w:id="18">
    <w:p w:rsidR="00424631" w:rsidRDefault="00424631" w:rsidP="00424631">
      <w:pPr>
        <w:pStyle w:val="EndnoteText"/>
      </w:pPr>
    </w:p>
    <w:p w:rsidR="00424631" w:rsidRDefault="00424631" w:rsidP="00424631">
      <w:pPr>
        <w:pStyle w:val="EndnoteText"/>
      </w:pPr>
      <w:r>
        <w:rPr>
          <w:rStyle w:val="EndnoteReference"/>
        </w:rPr>
        <w:endnoteRef/>
      </w:r>
      <w:r>
        <w:t xml:space="preserve"> See Latour, “An Attempt at a ‘Compositionist Manifesto’,” </w:t>
      </w:r>
      <w:r>
        <w:rPr>
          <w:i/>
        </w:rPr>
        <w:t>New Literary History</w:t>
      </w:r>
      <w:r>
        <w:t xml:space="preserve"> 41 (2010): 474.</w:t>
      </w:r>
    </w:p>
    <w:p w:rsidR="00424631" w:rsidRPr="006419EC" w:rsidRDefault="00424631" w:rsidP="0042463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96590"/>
      <w:docPartObj>
        <w:docPartGallery w:val="Page Numbers (Bottom of Page)"/>
        <w:docPartUnique/>
      </w:docPartObj>
    </w:sdtPr>
    <w:sdtEndPr>
      <w:rPr>
        <w:noProof/>
      </w:rPr>
    </w:sdtEndPr>
    <w:sdtContent>
      <w:p w:rsidR="00703774" w:rsidRDefault="00703774">
        <w:pPr>
          <w:pStyle w:val="Footer"/>
          <w:jc w:val="center"/>
        </w:pPr>
        <w:r>
          <w:fldChar w:fldCharType="begin"/>
        </w:r>
        <w:r>
          <w:instrText xml:space="preserve"> PAGE   \* MERGEFORMAT </w:instrText>
        </w:r>
        <w:r>
          <w:fldChar w:fldCharType="separate"/>
        </w:r>
        <w:r w:rsidR="00275554">
          <w:rPr>
            <w:noProof/>
          </w:rPr>
          <w:t>9</w:t>
        </w:r>
        <w:r>
          <w:rPr>
            <w:noProof/>
          </w:rPr>
          <w:fldChar w:fldCharType="end"/>
        </w:r>
      </w:p>
    </w:sdtContent>
  </w:sdt>
  <w:p w:rsidR="00703774" w:rsidRDefault="0070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CD" w:rsidRDefault="00A973CD" w:rsidP="00424631">
      <w:pPr>
        <w:spacing w:after="0" w:line="240" w:lineRule="auto"/>
      </w:pPr>
      <w:r>
        <w:separator/>
      </w:r>
    </w:p>
  </w:footnote>
  <w:footnote w:type="continuationSeparator" w:id="0">
    <w:p w:rsidR="00A973CD" w:rsidRDefault="00A973CD" w:rsidP="00424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31"/>
    <w:rsid w:val="00275554"/>
    <w:rsid w:val="00293E53"/>
    <w:rsid w:val="00306B5A"/>
    <w:rsid w:val="00365FFD"/>
    <w:rsid w:val="003918A2"/>
    <w:rsid w:val="00424631"/>
    <w:rsid w:val="00475798"/>
    <w:rsid w:val="005568D8"/>
    <w:rsid w:val="0056719D"/>
    <w:rsid w:val="005924EF"/>
    <w:rsid w:val="006A7FAF"/>
    <w:rsid w:val="00703774"/>
    <w:rsid w:val="00756723"/>
    <w:rsid w:val="00796052"/>
    <w:rsid w:val="00822CDB"/>
    <w:rsid w:val="00861DD6"/>
    <w:rsid w:val="00892C97"/>
    <w:rsid w:val="00A2178C"/>
    <w:rsid w:val="00A973CD"/>
    <w:rsid w:val="00B16832"/>
    <w:rsid w:val="00B756B9"/>
    <w:rsid w:val="00C04FFA"/>
    <w:rsid w:val="00CC40CE"/>
    <w:rsid w:val="00D76A10"/>
    <w:rsid w:val="00D8528E"/>
    <w:rsid w:val="00E32C59"/>
    <w:rsid w:val="00E75A9C"/>
    <w:rsid w:val="00ED08D3"/>
    <w:rsid w:val="00F078E0"/>
    <w:rsid w:val="00FA0331"/>
    <w:rsid w:val="00FE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4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631"/>
    <w:rPr>
      <w:sz w:val="20"/>
      <w:szCs w:val="20"/>
    </w:rPr>
  </w:style>
  <w:style w:type="character" w:styleId="EndnoteReference">
    <w:name w:val="endnote reference"/>
    <w:basedOn w:val="DefaultParagraphFont"/>
    <w:uiPriority w:val="99"/>
    <w:semiHidden/>
    <w:unhideWhenUsed/>
    <w:rsid w:val="00424631"/>
    <w:rPr>
      <w:vertAlign w:val="superscript"/>
    </w:rPr>
  </w:style>
  <w:style w:type="paragraph" w:styleId="ListParagraph">
    <w:name w:val="List Paragraph"/>
    <w:basedOn w:val="Normal"/>
    <w:uiPriority w:val="34"/>
    <w:qFormat/>
    <w:rsid w:val="00424631"/>
    <w:pPr>
      <w:ind w:left="720"/>
      <w:contextualSpacing/>
    </w:pPr>
  </w:style>
  <w:style w:type="character" w:styleId="Hyperlink">
    <w:name w:val="Hyperlink"/>
    <w:basedOn w:val="DefaultParagraphFont"/>
    <w:uiPriority w:val="99"/>
    <w:unhideWhenUsed/>
    <w:rsid w:val="00424631"/>
    <w:rPr>
      <w:color w:val="0000FF" w:themeColor="hyperlink"/>
      <w:u w:val="single"/>
    </w:rPr>
  </w:style>
  <w:style w:type="paragraph" w:styleId="Header">
    <w:name w:val="header"/>
    <w:basedOn w:val="Normal"/>
    <w:link w:val="HeaderChar"/>
    <w:uiPriority w:val="99"/>
    <w:unhideWhenUsed/>
    <w:rsid w:val="0070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74"/>
  </w:style>
  <w:style w:type="paragraph" w:styleId="Footer">
    <w:name w:val="footer"/>
    <w:basedOn w:val="Normal"/>
    <w:link w:val="FooterChar"/>
    <w:uiPriority w:val="99"/>
    <w:unhideWhenUsed/>
    <w:rsid w:val="0070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4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631"/>
    <w:rPr>
      <w:sz w:val="20"/>
      <w:szCs w:val="20"/>
    </w:rPr>
  </w:style>
  <w:style w:type="character" w:styleId="EndnoteReference">
    <w:name w:val="endnote reference"/>
    <w:basedOn w:val="DefaultParagraphFont"/>
    <w:uiPriority w:val="99"/>
    <w:semiHidden/>
    <w:unhideWhenUsed/>
    <w:rsid w:val="00424631"/>
    <w:rPr>
      <w:vertAlign w:val="superscript"/>
    </w:rPr>
  </w:style>
  <w:style w:type="paragraph" w:styleId="ListParagraph">
    <w:name w:val="List Paragraph"/>
    <w:basedOn w:val="Normal"/>
    <w:uiPriority w:val="34"/>
    <w:qFormat/>
    <w:rsid w:val="00424631"/>
    <w:pPr>
      <w:ind w:left="720"/>
      <w:contextualSpacing/>
    </w:pPr>
  </w:style>
  <w:style w:type="character" w:styleId="Hyperlink">
    <w:name w:val="Hyperlink"/>
    <w:basedOn w:val="DefaultParagraphFont"/>
    <w:uiPriority w:val="99"/>
    <w:unhideWhenUsed/>
    <w:rsid w:val="00424631"/>
    <w:rPr>
      <w:color w:val="0000FF" w:themeColor="hyperlink"/>
      <w:u w:val="single"/>
    </w:rPr>
  </w:style>
  <w:style w:type="paragraph" w:styleId="Header">
    <w:name w:val="header"/>
    <w:basedOn w:val="Normal"/>
    <w:link w:val="HeaderChar"/>
    <w:uiPriority w:val="99"/>
    <w:unhideWhenUsed/>
    <w:rsid w:val="0070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74"/>
  </w:style>
  <w:style w:type="paragraph" w:styleId="Footer">
    <w:name w:val="footer"/>
    <w:basedOn w:val="Normal"/>
    <w:link w:val="FooterChar"/>
    <w:uiPriority w:val="99"/>
    <w:unhideWhenUsed/>
    <w:rsid w:val="0070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Bullfighting" TargetMode="External"/><Relationship Id="rId2" Type="http://schemas.openxmlformats.org/officeDocument/2006/relationships/hyperlink" Target="http://www.gutenberg.org/cache/epub/8901/pg8901.html" TargetMode="External"/><Relationship Id="rId1" Type="http://schemas.openxmlformats.org/officeDocument/2006/relationships/hyperlink" Target="http://www.nybooks.com/articles/archives/1993/jun/10/byron-lives/?insrc=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2A9889-6585-4882-8777-DA1022B6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User</cp:lastModifiedBy>
  <cp:revision>10</cp:revision>
  <dcterms:created xsi:type="dcterms:W3CDTF">2014-12-10T04:06:00Z</dcterms:created>
  <dcterms:modified xsi:type="dcterms:W3CDTF">2014-12-10T21:10:00Z</dcterms:modified>
</cp:coreProperties>
</file>